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E1" w:rsidRPr="00FA51CC" w:rsidRDefault="00E10B81" w:rsidP="0009502F">
      <w:pPr>
        <w:jc w:val="center"/>
        <w:rPr>
          <w:rFonts w:asciiTheme="minorHAnsi" w:hAnsiTheme="minorHAnsi" w:cstheme="minorHAnsi"/>
          <w:b/>
          <w:bCs/>
          <w:caps/>
          <w:sz w:val="28"/>
          <w:szCs w:val="28"/>
          <w:u w:val="single"/>
        </w:rPr>
      </w:pPr>
      <w:bookmarkStart w:id="0" w:name="_GoBack"/>
      <w:bookmarkEnd w:id="0"/>
      <w:r>
        <w:rPr>
          <w:rFonts w:asciiTheme="minorHAnsi" w:hAnsiTheme="minorHAnsi" w:cstheme="minorHAnsi"/>
          <w:b/>
          <w:bCs/>
          <w:caps/>
          <w:sz w:val="28"/>
          <w:szCs w:val="28"/>
          <w:u w:val="single"/>
        </w:rPr>
        <w:t xml:space="preserve">GENERAL NOTICE OF </w:t>
      </w:r>
      <w:r w:rsidR="00ED73E1" w:rsidRPr="00FA51CC">
        <w:rPr>
          <w:rFonts w:asciiTheme="minorHAnsi" w:hAnsiTheme="minorHAnsi" w:cstheme="minorHAnsi"/>
          <w:b/>
          <w:bCs/>
          <w:caps/>
          <w:sz w:val="28"/>
          <w:szCs w:val="28"/>
          <w:u w:val="single"/>
        </w:rPr>
        <w:t>COBRA Continuation Coverage</w:t>
      </w:r>
    </w:p>
    <w:p w:rsidR="00ED73E1" w:rsidRPr="00FA51CC" w:rsidRDefault="00ED73E1" w:rsidP="00ED73E1">
      <w:pPr>
        <w:pStyle w:val="QuickI"/>
        <w:numPr>
          <w:ilvl w:val="0"/>
          <w:numId w:val="0"/>
        </w:numPr>
        <w:tabs>
          <w:tab w:val="left" w:pos="-1440"/>
        </w:tabs>
        <w:rPr>
          <w:rFonts w:asciiTheme="minorHAnsi" w:hAnsiTheme="minorHAnsi" w:cstheme="minorHAnsi"/>
        </w:rPr>
      </w:pPr>
    </w:p>
    <w:p w:rsidR="00E10B81" w:rsidRDefault="00480CCB" w:rsidP="00ED73E1">
      <w:pPr>
        <w:pStyle w:val="QuickI"/>
        <w:numPr>
          <w:ilvl w:val="0"/>
          <w:numId w:val="0"/>
        </w:numPr>
        <w:tabs>
          <w:tab w:val="left" w:pos="-1440"/>
        </w:tabs>
        <w:rPr>
          <w:rFonts w:asciiTheme="minorHAnsi" w:hAnsiTheme="minorHAnsi" w:cstheme="minorHAnsi"/>
        </w:rPr>
      </w:pPr>
      <w:r>
        <w:rPr>
          <w:rFonts w:asciiTheme="minorHAnsi" w:hAnsiTheme="minorHAnsi" w:cstheme="minorHAnsi"/>
        </w:rPr>
        <w:t>This notice has important information about your rights to COBRA continuation coverage, which is a temporary extension of coverage under the</w:t>
      </w:r>
      <w:r w:rsidR="00E10B81">
        <w:rPr>
          <w:rFonts w:asciiTheme="minorHAnsi" w:hAnsiTheme="minorHAnsi" w:cstheme="minorHAnsi"/>
        </w:rPr>
        <w:t xml:space="preserve"> group health Plan (the Plan.)  This notice explains COBRA continuation coverage, when it may become available to you and your family, and what you need to do to protect your right to get it.  When you become </w:t>
      </w:r>
      <w:r w:rsidR="009C77D1">
        <w:rPr>
          <w:rFonts w:asciiTheme="minorHAnsi" w:hAnsiTheme="minorHAnsi" w:cstheme="minorHAnsi"/>
        </w:rPr>
        <w:t>eligible</w:t>
      </w:r>
      <w:r w:rsidR="00E10B81">
        <w:rPr>
          <w:rFonts w:asciiTheme="minorHAnsi" w:hAnsiTheme="minorHAnsi" w:cstheme="minorHAnsi"/>
        </w:rPr>
        <w:t xml:space="preserve"> for COBRA, you may also become </w:t>
      </w:r>
      <w:r w:rsidR="009C77D1">
        <w:rPr>
          <w:rFonts w:asciiTheme="minorHAnsi" w:hAnsiTheme="minorHAnsi" w:cstheme="minorHAnsi"/>
        </w:rPr>
        <w:t>eligible</w:t>
      </w:r>
      <w:r w:rsidR="00E10B81">
        <w:rPr>
          <w:rFonts w:asciiTheme="minorHAnsi" w:hAnsiTheme="minorHAnsi" w:cstheme="minorHAnsi"/>
        </w:rPr>
        <w:t xml:space="preserve"> for other coverage options that may </w:t>
      </w:r>
      <w:r w:rsidR="009C77D1">
        <w:rPr>
          <w:rFonts w:asciiTheme="minorHAnsi" w:hAnsiTheme="minorHAnsi" w:cstheme="minorHAnsi"/>
        </w:rPr>
        <w:t>cost</w:t>
      </w:r>
      <w:r w:rsidR="00E10B81">
        <w:rPr>
          <w:rFonts w:asciiTheme="minorHAnsi" w:hAnsiTheme="minorHAnsi" w:cstheme="minorHAnsi"/>
        </w:rPr>
        <w:t xml:space="preserve"> less than COBRA </w:t>
      </w:r>
      <w:r w:rsidR="009C77D1">
        <w:rPr>
          <w:rFonts w:asciiTheme="minorHAnsi" w:hAnsiTheme="minorHAnsi" w:cstheme="minorHAnsi"/>
        </w:rPr>
        <w:t>continuation</w:t>
      </w:r>
      <w:r w:rsidR="00E10B81">
        <w:rPr>
          <w:rFonts w:asciiTheme="minorHAnsi" w:hAnsiTheme="minorHAnsi" w:cstheme="minorHAnsi"/>
        </w:rPr>
        <w:t xml:space="preserve"> </w:t>
      </w:r>
      <w:r w:rsidR="009C77D1">
        <w:rPr>
          <w:rFonts w:asciiTheme="minorHAnsi" w:hAnsiTheme="minorHAnsi" w:cstheme="minorHAnsi"/>
        </w:rPr>
        <w:t>coverage</w:t>
      </w:r>
      <w:r w:rsidR="00E10B81">
        <w:rPr>
          <w:rFonts w:asciiTheme="minorHAnsi" w:hAnsiTheme="minorHAnsi" w:cstheme="minorHAnsi"/>
        </w:rPr>
        <w:t>.</w:t>
      </w:r>
    </w:p>
    <w:p w:rsidR="00E10B81" w:rsidRDefault="00E10B81" w:rsidP="00ED73E1">
      <w:pPr>
        <w:pStyle w:val="QuickI"/>
        <w:numPr>
          <w:ilvl w:val="0"/>
          <w:numId w:val="0"/>
        </w:numPr>
        <w:tabs>
          <w:tab w:val="left" w:pos="-1440"/>
        </w:tabs>
        <w:rPr>
          <w:rFonts w:asciiTheme="minorHAnsi" w:hAnsiTheme="minorHAnsi" w:cstheme="minorHAnsi"/>
        </w:rPr>
      </w:pPr>
    </w:p>
    <w:p w:rsidR="00ED73E1" w:rsidRDefault="00ED73E1" w:rsidP="00ED73E1">
      <w:pPr>
        <w:pStyle w:val="QuickI"/>
        <w:numPr>
          <w:ilvl w:val="0"/>
          <w:numId w:val="0"/>
        </w:numPr>
        <w:tabs>
          <w:tab w:val="left" w:pos="-1440"/>
        </w:tabs>
        <w:rPr>
          <w:rFonts w:asciiTheme="minorHAnsi" w:hAnsiTheme="minorHAnsi" w:cstheme="minorHAnsi"/>
        </w:rPr>
      </w:pPr>
      <w:r w:rsidRPr="00FA51CC">
        <w:rPr>
          <w:rFonts w:asciiTheme="minorHAnsi" w:hAnsiTheme="minorHAnsi" w:cstheme="minorHAnsi"/>
        </w:rPr>
        <w:t>The right to COBRA continuation coverage was created by a federal law, the Consolidated Omnibus Budget Reconciliation Act of 1985 (COBRA).  COBRA continuation coverage can become available to you when you would otherwise lose your group health coverage.  It can also become available to other members of your family who are covered under the Plan when they would otherwise lose their group health coverage.  For additional information about your rights and obligations under the Plan and under federal law, you should review the Plan’s Summary Plan Description or</w:t>
      </w:r>
      <w:r w:rsidR="00FD3282" w:rsidRPr="00FA51CC">
        <w:rPr>
          <w:rFonts w:asciiTheme="minorHAnsi" w:hAnsiTheme="minorHAnsi" w:cstheme="minorHAnsi"/>
        </w:rPr>
        <w:t xml:space="preserve"> contact the Plan Administrator.</w:t>
      </w:r>
      <w:r w:rsidRPr="00FA51CC">
        <w:rPr>
          <w:rFonts w:asciiTheme="minorHAnsi" w:hAnsiTheme="minorHAnsi" w:cstheme="minorHAnsi"/>
        </w:rPr>
        <w:t xml:space="preserve"> </w:t>
      </w:r>
    </w:p>
    <w:p w:rsidR="00204746" w:rsidRPr="00FA51CC" w:rsidRDefault="00204746" w:rsidP="00ED73E1">
      <w:pPr>
        <w:pStyle w:val="QuickI"/>
        <w:numPr>
          <w:ilvl w:val="0"/>
          <w:numId w:val="0"/>
        </w:numPr>
        <w:tabs>
          <w:tab w:val="left" w:pos="-1440"/>
        </w:tabs>
        <w:rPr>
          <w:rFonts w:asciiTheme="minorHAnsi" w:hAnsiTheme="minorHAnsi" w:cstheme="minorHAnsi"/>
        </w:rPr>
      </w:pPr>
    </w:p>
    <w:p w:rsidR="00204746" w:rsidRPr="00FA51CC" w:rsidRDefault="00E10B81" w:rsidP="00204746">
      <w:pPr>
        <w:pStyle w:val="BodyTextIndent"/>
        <w:spacing w:before="0" w:line="240" w:lineRule="auto"/>
        <w:ind w:firstLine="0"/>
        <w:rPr>
          <w:rFonts w:asciiTheme="minorHAnsi" w:hAnsiTheme="minorHAnsi" w:cstheme="minorHAnsi"/>
        </w:rPr>
      </w:pPr>
      <w:r>
        <w:rPr>
          <w:rFonts w:asciiTheme="minorHAnsi" w:hAnsiTheme="minorHAnsi" w:cstheme="minorHAnsi"/>
          <w:b/>
        </w:rPr>
        <w:t>You may have other options available to you when you lose group health coverage.</w:t>
      </w:r>
      <w:r>
        <w:rPr>
          <w:rFonts w:asciiTheme="minorHAnsi" w:hAnsiTheme="minorHAnsi" w:cstheme="minorHAnsi"/>
        </w:rPr>
        <w:t xml:space="preserve"> You may</w:t>
      </w:r>
      <w:r w:rsidR="009C77D1">
        <w:rPr>
          <w:rFonts w:asciiTheme="minorHAnsi" w:hAnsiTheme="minorHAnsi" w:cstheme="minorHAnsi"/>
        </w:rPr>
        <w:t xml:space="preserve"> be</w:t>
      </w:r>
      <w:r>
        <w:rPr>
          <w:rFonts w:asciiTheme="minorHAnsi" w:hAnsiTheme="minorHAnsi" w:cstheme="minorHAnsi"/>
        </w:rPr>
        <w:t xml:space="preserve"> </w:t>
      </w:r>
      <w:r w:rsidR="009C77D1">
        <w:rPr>
          <w:rFonts w:asciiTheme="minorHAnsi" w:hAnsiTheme="minorHAnsi" w:cstheme="minorHAnsi"/>
        </w:rPr>
        <w:t>eligible</w:t>
      </w:r>
      <w:r>
        <w:rPr>
          <w:rFonts w:asciiTheme="minorHAnsi" w:hAnsiTheme="minorHAnsi" w:cstheme="minorHAnsi"/>
        </w:rPr>
        <w:t xml:space="preserve"> to </w:t>
      </w:r>
      <w:r w:rsidR="00204746" w:rsidRPr="00FA51CC">
        <w:rPr>
          <w:rFonts w:asciiTheme="minorHAnsi" w:hAnsiTheme="minorHAnsi" w:cstheme="minorHAnsi"/>
        </w:rPr>
        <w:t>buy</w:t>
      </w:r>
      <w:r>
        <w:rPr>
          <w:rFonts w:asciiTheme="minorHAnsi" w:hAnsiTheme="minorHAnsi" w:cstheme="minorHAnsi"/>
        </w:rPr>
        <w:t xml:space="preserve"> an individual</w:t>
      </w:r>
      <w:r w:rsidR="00204746" w:rsidRPr="00FA51CC">
        <w:rPr>
          <w:rFonts w:asciiTheme="minorHAnsi" w:hAnsiTheme="minorHAnsi" w:cstheme="minorHAnsi"/>
        </w:rPr>
        <w:t xml:space="preserve"> </w:t>
      </w:r>
      <w:r>
        <w:rPr>
          <w:rFonts w:asciiTheme="minorHAnsi" w:hAnsiTheme="minorHAnsi" w:cstheme="minorHAnsi"/>
        </w:rPr>
        <w:t xml:space="preserve">plan </w:t>
      </w:r>
      <w:r w:rsidR="00204746" w:rsidRPr="00FA51CC">
        <w:rPr>
          <w:rFonts w:asciiTheme="minorHAnsi" w:hAnsiTheme="minorHAnsi" w:cstheme="minorHAnsi"/>
        </w:rPr>
        <w:t xml:space="preserve">through the Health Insurance Marketplace.  </w:t>
      </w:r>
      <w:r>
        <w:rPr>
          <w:rFonts w:asciiTheme="minorHAnsi" w:hAnsiTheme="minorHAnsi" w:cstheme="minorHAnsi"/>
        </w:rPr>
        <w:t xml:space="preserve">By enrolling in </w:t>
      </w:r>
      <w:r w:rsidR="009C77D1">
        <w:rPr>
          <w:rFonts w:asciiTheme="minorHAnsi" w:hAnsiTheme="minorHAnsi" w:cstheme="minorHAnsi"/>
        </w:rPr>
        <w:t>coverage</w:t>
      </w:r>
      <w:r>
        <w:rPr>
          <w:rFonts w:asciiTheme="minorHAnsi" w:hAnsiTheme="minorHAnsi" w:cstheme="minorHAnsi"/>
        </w:rPr>
        <w:t xml:space="preserve"> through </w:t>
      </w:r>
      <w:r w:rsidR="009C77D1">
        <w:rPr>
          <w:rFonts w:asciiTheme="minorHAnsi" w:hAnsiTheme="minorHAnsi" w:cstheme="minorHAnsi"/>
        </w:rPr>
        <w:t xml:space="preserve">the </w:t>
      </w:r>
      <w:r w:rsidR="00204746" w:rsidRPr="00FA51CC">
        <w:rPr>
          <w:rFonts w:asciiTheme="minorHAnsi" w:hAnsiTheme="minorHAnsi" w:cstheme="minorHAnsi"/>
        </w:rPr>
        <w:t xml:space="preserve">Marketplace, you </w:t>
      </w:r>
      <w:r>
        <w:rPr>
          <w:rFonts w:asciiTheme="minorHAnsi" w:hAnsiTheme="minorHAnsi" w:cstheme="minorHAnsi"/>
        </w:rPr>
        <w:t xml:space="preserve">may qualify for lower costs on your </w:t>
      </w:r>
      <w:r w:rsidR="009C77D1">
        <w:rPr>
          <w:rFonts w:asciiTheme="minorHAnsi" w:hAnsiTheme="minorHAnsi" w:cstheme="minorHAnsi"/>
        </w:rPr>
        <w:t>monthly</w:t>
      </w:r>
      <w:r>
        <w:rPr>
          <w:rFonts w:asciiTheme="minorHAnsi" w:hAnsiTheme="minorHAnsi" w:cstheme="minorHAnsi"/>
        </w:rPr>
        <w:t xml:space="preserve"> premiums and out-of-pocket costs.  </w:t>
      </w:r>
      <w:r w:rsidR="00204746" w:rsidRPr="00FA51CC">
        <w:rPr>
          <w:rFonts w:asciiTheme="minorHAnsi" w:hAnsiTheme="minorHAnsi" w:cstheme="minorHAnsi"/>
        </w:rPr>
        <w:t xml:space="preserve">Additionally you may qualify for a </w:t>
      </w:r>
      <w:r>
        <w:rPr>
          <w:rFonts w:asciiTheme="minorHAnsi" w:hAnsiTheme="minorHAnsi" w:cstheme="minorHAnsi"/>
        </w:rPr>
        <w:t xml:space="preserve">30-day </w:t>
      </w:r>
      <w:r w:rsidR="00204746" w:rsidRPr="00FA51CC">
        <w:rPr>
          <w:rFonts w:asciiTheme="minorHAnsi" w:hAnsiTheme="minorHAnsi" w:cstheme="minorHAnsi"/>
        </w:rPr>
        <w:t xml:space="preserve">special enrollment </w:t>
      </w:r>
      <w:r>
        <w:rPr>
          <w:rFonts w:asciiTheme="minorHAnsi" w:hAnsiTheme="minorHAnsi" w:cstheme="minorHAnsi"/>
        </w:rPr>
        <w:t xml:space="preserve">period </w:t>
      </w:r>
      <w:r w:rsidR="00204746" w:rsidRPr="00FA51CC">
        <w:rPr>
          <w:rFonts w:asciiTheme="minorHAnsi" w:hAnsiTheme="minorHAnsi" w:cstheme="minorHAnsi"/>
        </w:rPr>
        <w:t>for another group health plan for which you are eligible (such as a spouse’s plan), even if the plan generally does not accept late enrollees</w:t>
      </w:r>
      <w:r>
        <w:rPr>
          <w:rFonts w:asciiTheme="minorHAnsi" w:hAnsiTheme="minorHAnsi" w:cstheme="minorHAnsi"/>
        </w:rPr>
        <w:t>.</w:t>
      </w:r>
    </w:p>
    <w:p w:rsidR="00ED73E1" w:rsidRPr="004F3F86" w:rsidRDefault="00ED73E1" w:rsidP="00ED73E1">
      <w:pPr>
        <w:pStyle w:val="QuickI"/>
        <w:numPr>
          <w:ilvl w:val="0"/>
          <w:numId w:val="0"/>
        </w:numPr>
        <w:tabs>
          <w:tab w:val="left" w:pos="-1440"/>
        </w:tabs>
        <w:rPr>
          <w:rFonts w:asciiTheme="minorHAnsi" w:hAnsiTheme="minorHAnsi" w:cstheme="minorHAnsi"/>
          <w:b/>
        </w:rPr>
      </w:pPr>
    </w:p>
    <w:p w:rsidR="0009502F" w:rsidRPr="004F3F86" w:rsidRDefault="00ED73E1" w:rsidP="004F3F86">
      <w:r w:rsidRPr="004F3F86">
        <w:rPr>
          <w:rFonts w:asciiTheme="minorHAnsi" w:hAnsiTheme="minorHAnsi" w:cstheme="minorHAnsi"/>
          <w:bCs/>
        </w:rPr>
        <w:t>What is COBRA Continuation Coverage?</w:t>
      </w:r>
    </w:p>
    <w:p w:rsidR="00ED73E1" w:rsidRPr="00FA51CC" w:rsidRDefault="00ED73E1" w:rsidP="004F3F86">
      <w:pPr>
        <w:pStyle w:val="Heading1"/>
        <w:spacing w:line="240" w:lineRule="auto"/>
      </w:pPr>
    </w:p>
    <w:p w:rsidR="00ED73E1" w:rsidRPr="00FA51CC" w:rsidRDefault="00ED73E1" w:rsidP="00ED73E1">
      <w:pPr>
        <w:pStyle w:val="BodyTextIndent"/>
        <w:spacing w:before="0" w:line="240" w:lineRule="auto"/>
        <w:ind w:firstLine="0"/>
        <w:rPr>
          <w:rFonts w:asciiTheme="minorHAnsi" w:hAnsiTheme="minorHAnsi" w:cstheme="minorHAnsi"/>
        </w:rPr>
      </w:pPr>
      <w:r w:rsidRPr="00FA51CC">
        <w:rPr>
          <w:rFonts w:asciiTheme="minorHAnsi" w:hAnsiTheme="minorHAnsi" w:cstheme="minorHAnsi"/>
        </w:rPr>
        <w:t>COBRA continuation coverage is a continuation of Plan coverage when coverage would otherwise end because of a life event known as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must pay</w:t>
      </w:r>
      <w:r w:rsidR="00E10B81">
        <w:rPr>
          <w:rFonts w:asciiTheme="minorHAnsi" w:hAnsiTheme="minorHAnsi" w:cstheme="minorHAnsi"/>
        </w:rPr>
        <w:t xml:space="preserve"> for </w:t>
      </w:r>
      <w:r w:rsidRPr="00FA51CC">
        <w:rPr>
          <w:rFonts w:asciiTheme="minorHAnsi" w:hAnsiTheme="minorHAnsi" w:cstheme="minorHAnsi"/>
        </w:rPr>
        <w:t xml:space="preserve">COBRA continuation coverage.  </w:t>
      </w:r>
    </w:p>
    <w:p w:rsidR="00D066C0" w:rsidRPr="00FA51CC" w:rsidRDefault="00D066C0" w:rsidP="00ED73E1">
      <w:pPr>
        <w:pStyle w:val="BodyTextIndent"/>
        <w:spacing w:before="0" w:line="240" w:lineRule="auto"/>
        <w:ind w:firstLine="0"/>
        <w:rPr>
          <w:rFonts w:asciiTheme="minorHAnsi" w:hAnsiTheme="minorHAnsi" w:cstheme="minorHAnsi"/>
        </w:rPr>
      </w:pPr>
    </w:p>
    <w:p w:rsidR="00ED73E1" w:rsidRDefault="00ED73E1" w:rsidP="00ED73E1">
      <w:pPr>
        <w:pStyle w:val="BodyTextIndent"/>
        <w:spacing w:before="0" w:line="240" w:lineRule="auto"/>
        <w:ind w:firstLine="0"/>
        <w:rPr>
          <w:rFonts w:asciiTheme="minorHAnsi" w:hAnsiTheme="minorHAnsi" w:cstheme="minorHAnsi"/>
        </w:rPr>
      </w:pPr>
      <w:r w:rsidRPr="00FA51CC">
        <w:rPr>
          <w:rFonts w:asciiTheme="minorHAnsi" w:hAnsiTheme="minorHAnsi" w:cstheme="minorHAnsi"/>
        </w:rPr>
        <w:t>If you are an employee, you will become a qualified beneficiary if you lose your coverage under the Plan because either one of the following qualifying events happens:</w:t>
      </w:r>
    </w:p>
    <w:p w:rsidR="00D066C0" w:rsidRPr="00FA51CC" w:rsidRDefault="00D066C0" w:rsidP="00ED73E1">
      <w:pPr>
        <w:pStyle w:val="BodyTextIndent"/>
        <w:spacing w:before="0" w:line="240" w:lineRule="auto"/>
        <w:ind w:firstLine="0"/>
        <w:rPr>
          <w:rFonts w:asciiTheme="minorHAnsi" w:hAnsiTheme="minorHAnsi" w:cstheme="minorHAnsi"/>
        </w:rPr>
      </w:pPr>
    </w:p>
    <w:p w:rsidR="00ED73E1" w:rsidRPr="00FA51CC" w:rsidRDefault="00ED73E1" w:rsidP="00ED73E1">
      <w:pPr>
        <w:pStyle w:val="BodyTextIndent"/>
        <w:numPr>
          <w:ilvl w:val="0"/>
          <w:numId w:val="2"/>
        </w:numPr>
        <w:spacing w:before="0" w:line="240" w:lineRule="auto"/>
        <w:rPr>
          <w:rFonts w:asciiTheme="minorHAnsi" w:hAnsiTheme="minorHAnsi" w:cstheme="minorHAnsi"/>
        </w:rPr>
      </w:pPr>
      <w:r w:rsidRPr="00FA51CC">
        <w:rPr>
          <w:rFonts w:asciiTheme="minorHAnsi" w:hAnsiTheme="minorHAnsi" w:cstheme="minorHAnsi"/>
        </w:rPr>
        <w:t>Your hours of employment are reduced, or</w:t>
      </w:r>
    </w:p>
    <w:p w:rsidR="00ED73E1" w:rsidRPr="00FA51CC" w:rsidRDefault="00ED73E1" w:rsidP="00ED73E1">
      <w:pPr>
        <w:pStyle w:val="BodyTextIndent"/>
        <w:numPr>
          <w:ilvl w:val="0"/>
          <w:numId w:val="2"/>
        </w:numPr>
        <w:spacing w:before="0" w:line="240" w:lineRule="auto"/>
        <w:rPr>
          <w:rFonts w:asciiTheme="minorHAnsi" w:hAnsiTheme="minorHAnsi" w:cstheme="minorHAnsi"/>
        </w:rPr>
      </w:pPr>
      <w:r w:rsidRPr="00FA51CC">
        <w:rPr>
          <w:rFonts w:asciiTheme="minorHAnsi" w:hAnsiTheme="minorHAnsi" w:cstheme="minorHAnsi"/>
        </w:rPr>
        <w:t>Your employment ends for any reason other than your gross misconduct.</w:t>
      </w:r>
    </w:p>
    <w:p w:rsidR="00ED73E1" w:rsidRPr="00FA51CC" w:rsidRDefault="00ED73E1" w:rsidP="00ED73E1">
      <w:pPr>
        <w:pStyle w:val="BodyTextIndent"/>
        <w:spacing w:before="0" w:line="240" w:lineRule="auto"/>
        <w:ind w:firstLine="0"/>
        <w:rPr>
          <w:rFonts w:asciiTheme="minorHAnsi" w:hAnsiTheme="minorHAnsi" w:cstheme="minorHAnsi"/>
        </w:rPr>
      </w:pPr>
    </w:p>
    <w:p w:rsidR="00ED73E1" w:rsidRPr="00FA51CC" w:rsidRDefault="00ED73E1" w:rsidP="00ED73E1">
      <w:pPr>
        <w:pStyle w:val="BodyTextIndent"/>
        <w:spacing w:before="0" w:line="240" w:lineRule="auto"/>
        <w:ind w:firstLine="0"/>
        <w:rPr>
          <w:rFonts w:asciiTheme="minorHAnsi" w:hAnsiTheme="minorHAnsi" w:cstheme="minorHAnsi"/>
        </w:rPr>
      </w:pPr>
      <w:r w:rsidRPr="00FA51CC">
        <w:rPr>
          <w:rFonts w:asciiTheme="minorHAnsi" w:hAnsiTheme="minorHAnsi" w:cstheme="minorHAnsi"/>
        </w:rPr>
        <w:t>If you are the spouse of an employee, you will become a qualified beneficiary if you lose your coverage under the Plan because any of the following qualifying events happens:</w:t>
      </w:r>
    </w:p>
    <w:p w:rsidR="00ED73E1" w:rsidRPr="00FA51CC" w:rsidRDefault="00ED73E1" w:rsidP="00ED73E1">
      <w:pPr>
        <w:pStyle w:val="BodyTextIndent"/>
        <w:spacing w:before="0" w:line="240" w:lineRule="auto"/>
        <w:ind w:firstLine="0"/>
        <w:rPr>
          <w:rFonts w:asciiTheme="minorHAnsi" w:hAnsiTheme="minorHAnsi" w:cstheme="minorHAnsi"/>
        </w:rPr>
      </w:pPr>
    </w:p>
    <w:p w:rsidR="00ED73E1" w:rsidRPr="00FA51CC" w:rsidRDefault="00ED73E1" w:rsidP="00ED73E1">
      <w:pPr>
        <w:pStyle w:val="BodyTextIndent"/>
        <w:numPr>
          <w:ilvl w:val="0"/>
          <w:numId w:val="3"/>
        </w:numPr>
        <w:spacing w:before="0" w:line="240" w:lineRule="auto"/>
        <w:rPr>
          <w:rFonts w:asciiTheme="minorHAnsi" w:hAnsiTheme="minorHAnsi" w:cstheme="minorHAnsi"/>
        </w:rPr>
      </w:pPr>
      <w:r w:rsidRPr="00FA51CC">
        <w:rPr>
          <w:rFonts w:asciiTheme="minorHAnsi" w:hAnsiTheme="minorHAnsi" w:cstheme="minorHAnsi"/>
        </w:rPr>
        <w:t>Your spouse dies;</w:t>
      </w:r>
    </w:p>
    <w:p w:rsidR="00ED73E1" w:rsidRPr="00FA51CC" w:rsidRDefault="00ED73E1" w:rsidP="00ED73E1">
      <w:pPr>
        <w:pStyle w:val="BodyTextIndent"/>
        <w:numPr>
          <w:ilvl w:val="0"/>
          <w:numId w:val="3"/>
        </w:numPr>
        <w:spacing w:before="0" w:line="240" w:lineRule="auto"/>
        <w:rPr>
          <w:rFonts w:asciiTheme="minorHAnsi" w:hAnsiTheme="minorHAnsi" w:cstheme="minorHAnsi"/>
        </w:rPr>
      </w:pPr>
      <w:r w:rsidRPr="00FA51CC">
        <w:rPr>
          <w:rFonts w:asciiTheme="minorHAnsi" w:hAnsiTheme="minorHAnsi" w:cstheme="minorHAnsi"/>
        </w:rPr>
        <w:lastRenderedPageBreak/>
        <w:t>Your spouse’s hours of employment are reduced;</w:t>
      </w:r>
    </w:p>
    <w:p w:rsidR="00ED73E1" w:rsidRPr="00FA51CC" w:rsidRDefault="00ED73E1" w:rsidP="00ED73E1">
      <w:pPr>
        <w:pStyle w:val="BodyTextIndent"/>
        <w:numPr>
          <w:ilvl w:val="0"/>
          <w:numId w:val="3"/>
        </w:numPr>
        <w:spacing w:before="0" w:line="240" w:lineRule="auto"/>
        <w:rPr>
          <w:rFonts w:asciiTheme="minorHAnsi" w:hAnsiTheme="minorHAnsi" w:cstheme="minorHAnsi"/>
        </w:rPr>
      </w:pPr>
      <w:r w:rsidRPr="00FA51CC">
        <w:rPr>
          <w:rFonts w:asciiTheme="minorHAnsi" w:hAnsiTheme="minorHAnsi" w:cstheme="minorHAnsi"/>
        </w:rPr>
        <w:t>Your spouse’s employment ends for any reason other than his or her gross misconduct;</w:t>
      </w:r>
      <w:r w:rsidRPr="00FA51CC">
        <w:rPr>
          <w:rFonts w:asciiTheme="minorHAnsi" w:hAnsiTheme="minorHAnsi" w:cstheme="minorHAnsi"/>
        </w:rPr>
        <w:tab/>
      </w:r>
    </w:p>
    <w:p w:rsidR="00ED73E1" w:rsidRPr="00FA51CC" w:rsidRDefault="00ED73E1" w:rsidP="00ED73E1">
      <w:pPr>
        <w:pStyle w:val="BodyTextIndent"/>
        <w:numPr>
          <w:ilvl w:val="0"/>
          <w:numId w:val="3"/>
        </w:numPr>
        <w:spacing w:before="0" w:line="240" w:lineRule="auto"/>
        <w:rPr>
          <w:rFonts w:asciiTheme="minorHAnsi" w:hAnsiTheme="minorHAnsi" w:cstheme="minorHAnsi"/>
        </w:rPr>
      </w:pPr>
      <w:r w:rsidRPr="00FA51CC">
        <w:rPr>
          <w:rFonts w:asciiTheme="minorHAnsi" w:hAnsiTheme="minorHAnsi" w:cstheme="minorHAnsi"/>
        </w:rPr>
        <w:t>Your spouse becomes entitled to Medicare benefits (under Part A, Part B, or both); or</w:t>
      </w:r>
    </w:p>
    <w:p w:rsidR="00ED73E1" w:rsidRPr="00FA51CC" w:rsidRDefault="00ED73E1" w:rsidP="00ED73E1">
      <w:pPr>
        <w:pStyle w:val="BodyTextIndent"/>
        <w:numPr>
          <w:ilvl w:val="0"/>
          <w:numId w:val="3"/>
        </w:numPr>
        <w:spacing w:before="0" w:line="240" w:lineRule="auto"/>
        <w:rPr>
          <w:rFonts w:asciiTheme="minorHAnsi" w:hAnsiTheme="minorHAnsi" w:cstheme="minorHAnsi"/>
        </w:rPr>
      </w:pPr>
      <w:r w:rsidRPr="00FA51CC">
        <w:rPr>
          <w:rFonts w:asciiTheme="minorHAnsi" w:hAnsiTheme="minorHAnsi" w:cstheme="minorHAnsi"/>
        </w:rPr>
        <w:t>You become divorced or legally separated from your spouse.</w:t>
      </w:r>
    </w:p>
    <w:p w:rsidR="00ED73E1" w:rsidRPr="00FA51CC" w:rsidRDefault="00ED73E1" w:rsidP="00ED73E1">
      <w:pPr>
        <w:pStyle w:val="BodyTextIndent"/>
        <w:spacing w:before="0" w:line="240" w:lineRule="auto"/>
        <w:ind w:left="648" w:firstLine="0"/>
        <w:rPr>
          <w:rFonts w:asciiTheme="minorHAnsi" w:hAnsiTheme="minorHAnsi" w:cstheme="minorHAnsi"/>
        </w:rPr>
      </w:pPr>
    </w:p>
    <w:p w:rsidR="00ED73E1" w:rsidRPr="00FA51CC" w:rsidRDefault="00ED73E1" w:rsidP="00ED73E1">
      <w:pPr>
        <w:pStyle w:val="BodyTextIndent"/>
        <w:spacing w:before="0" w:line="240" w:lineRule="auto"/>
        <w:ind w:left="288" w:firstLine="0"/>
        <w:rPr>
          <w:rFonts w:asciiTheme="minorHAnsi" w:hAnsiTheme="minorHAnsi" w:cstheme="minorHAnsi"/>
        </w:rPr>
      </w:pPr>
      <w:r w:rsidRPr="00FA51CC">
        <w:rPr>
          <w:rFonts w:asciiTheme="minorHAnsi" w:hAnsiTheme="minorHAnsi" w:cstheme="minorHAnsi"/>
        </w:rPr>
        <w:t>Your dependent children will become qualified beneficiaries if they lose coverage under the Plan because any of the following qualifying events:</w:t>
      </w:r>
    </w:p>
    <w:p w:rsidR="00ED73E1" w:rsidRPr="00FA51CC" w:rsidRDefault="00ED73E1" w:rsidP="00ED73E1">
      <w:pPr>
        <w:pStyle w:val="BodyTextIndent"/>
        <w:spacing w:before="0" w:line="240" w:lineRule="auto"/>
        <w:ind w:firstLine="0"/>
        <w:rPr>
          <w:rFonts w:asciiTheme="minorHAnsi" w:hAnsiTheme="minorHAnsi" w:cstheme="minorHAnsi"/>
        </w:rPr>
      </w:pPr>
    </w:p>
    <w:p w:rsidR="00ED73E1" w:rsidRPr="00FA51CC" w:rsidRDefault="00ED73E1" w:rsidP="00ED73E1">
      <w:pPr>
        <w:pStyle w:val="BodyTextIndent"/>
        <w:numPr>
          <w:ilvl w:val="0"/>
          <w:numId w:val="4"/>
        </w:numPr>
        <w:spacing w:before="0" w:line="240" w:lineRule="auto"/>
        <w:rPr>
          <w:rFonts w:asciiTheme="minorHAnsi" w:hAnsiTheme="minorHAnsi" w:cstheme="minorHAnsi"/>
        </w:rPr>
      </w:pPr>
      <w:r w:rsidRPr="00FA51CC">
        <w:rPr>
          <w:rFonts w:asciiTheme="minorHAnsi" w:hAnsiTheme="minorHAnsi" w:cstheme="minorHAnsi"/>
        </w:rPr>
        <w:t>The parent-employee dies;</w:t>
      </w:r>
    </w:p>
    <w:p w:rsidR="00ED73E1" w:rsidRPr="00FA51CC" w:rsidRDefault="00ED73E1" w:rsidP="00ED73E1">
      <w:pPr>
        <w:pStyle w:val="BodyTextIndent"/>
        <w:numPr>
          <w:ilvl w:val="0"/>
          <w:numId w:val="4"/>
        </w:numPr>
        <w:spacing w:before="0" w:line="240" w:lineRule="auto"/>
        <w:rPr>
          <w:rFonts w:asciiTheme="minorHAnsi" w:hAnsiTheme="minorHAnsi" w:cstheme="minorHAnsi"/>
        </w:rPr>
      </w:pPr>
      <w:r w:rsidRPr="00FA51CC">
        <w:rPr>
          <w:rFonts w:asciiTheme="minorHAnsi" w:hAnsiTheme="minorHAnsi" w:cstheme="minorHAnsi"/>
        </w:rPr>
        <w:t>The parent-employee’s hours of employment are reduced;</w:t>
      </w:r>
    </w:p>
    <w:p w:rsidR="00ED73E1" w:rsidRPr="00FA51CC" w:rsidRDefault="00ED73E1" w:rsidP="00ED73E1">
      <w:pPr>
        <w:pStyle w:val="BodyTextIndent"/>
        <w:numPr>
          <w:ilvl w:val="0"/>
          <w:numId w:val="4"/>
        </w:numPr>
        <w:spacing w:before="0" w:line="240" w:lineRule="auto"/>
        <w:rPr>
          <w:rFonts w:asciiTheme="minorHAnsi" w:hAnsiTheme="minorHAnsi" w:cstheme="minorHAnsi"/>
        </w:rPr>
      </w:pPr>
      <w:r w:rsidRPr="00FA51CC">
        <w:rPr>
          <w:rFonts w:asciiTheme="minorHAnsi" w:hAnsiTheme="minorHAnsi" w:cstheme="minorHAnsi"/>
        </w:rPr>
        <w:t>The parent-employee’s employment ends for any reason other than his or her gross misconduct;</w:t>
      </w:r>
    </w:p>
    <w:p w:rsidR="00ED73E1" w:rsidRPr="00FA51CC" w:rsidRDefault="00ED73E1" w:rsidP="00ED73E1">
      <w:pPr>
        <w:pStyle w:val="BodyTextIndent"/>
        <w:numPr>
          <w:ilvl w:val="0"/>
          <w:numId w:val="4"/>
        </w:numPr>
        <w:spacing w:before="0" w:line="240" w:lineRule="auto"/>
        <w:rPr>
          <w:rFonts w:asciiTheme="minorHAnsi" w:hAnsiTheme="minorHAnsi" w:cstheme="minorHAnsi"/>
        </w:rPr>
      </w:pPr>
      <w:r w:rsidRPr="00FA51CC">
        <w:rPr>
          <w:rFonts w:asciiTheme="minorHAnsi" w:hAnsiTheme="minorHAnsi" w:cstheme="minorHAnsi"/>
        </w:rPr>
        <w:t>The parent-employee becomes entitled to Medicare benefits (Part A, Part B, or both);</w:t>
      </w:r>
    </w:p>
    <w:p w:rsidR="00ED73E1" w:rsidRPr="00FA51CC" w:rsidRDefault="00ED73E1" w:rsidP="00ED73E1">
      <w:pPr>
        <w:pStyle w:val="BodyTextIndent"/>
        <w:numPr>
          <w:ilvl w:val="0"/>
          <w:numId w:val="4"/>
        </w:numPr>
        <w:spacing w:before="0" w:line="240" w:lineRule="auto"/>
        <w:rPr>
          <w:rFonts w:asciiTheme="minorHAnsi" w:hAnsiTheme="minorHAnsi" w:cstheme="minorHAnsi"/>
        </w:rPr>
      </w:pPr>
      <w:r w:rsidRPr="00FA51CC">
        <w:rPr>
          <w:rFonts w:asciiTheme="minorHAnsi" w:hAnsiTheme="minorHAnsi" w:cstheme="minorHAnsi"/>
        </w:rPr>
        <w:t xml:space="preserve">The parents become divorced or legally separated; or </w:t>
      </w:r>
    </w:p>
    <w:p w:rsidR="00ED73E1" w:rsidRPr="00FA51CC" w:rsidRDefault="00ED73E1" w:rsidP="00ED73E1">
      <w:pPr>
        <w:pStyle w:val="BodyTextIndent"/>
        <w:numPr>
          <w:ilvl w:val="0"/>
          <w:numId w:val="4"/>
        </w:numPr>
        <w:spacing w:before="0" w:line="240" w:lineRule="auto"/>
        <w:rPr>
          <w:rFonts w:asciiTheme="minorHAnsi" w:hAnsiTheme="minorHAnsi" w:cstheme="minorHAnsi"/>
        </w:rPr>
      </w:pPr>
      <w:r w:rsidRPr="00FA51CC">
        <w:rPr>
          <w:rFonts w:asciiTheme="minorHAnsi" w:hAnsiTheme="minorHAnsi" w:cstheme="minorHAnsi"/>
        </w:rPr>
        <w:t>The child stops being eligible for coverage under the plan as a “dependent child.”</w:t>
      </w:r>
    </w:p>
    <w:p w:rsidR="00DB6397" w:rsidRPr="00FA51CC" w:rsidRDefault="00DB6397" w:rsidP="004F3F86">
      <w:pPr>
        <w:pStyle w:val="BodyTextIndent"/>
        <w:spacing w:before="0" w:line="240" w:lineRule="auto"/>
        <w:ind w:firstLine="0"/>
        <w:rPr>
          <w:rFonts w:asciiTheme="minorHAnsi" w:hAnsiTheme="minorHAnsi" w:cstheme="minorHAnsi"/>
        </w:rPr>
      </w:pPr>
    </w:p>
    <w:p w:rsidR="00ED73E1" w:rsidRPr="00FA51CC" w:rsidRDefault="00ED73E1" w:rsidP="00ED73E1">
      <w:pPr>
        <w:rPr>
          <w:rFonts w:asciiTheme="minorHAnsi" w:hAnsiTheme="minorHAnsi" w:cstheme="minorHAnsi"/>
          <w:b/>
          <w:bCs/>
        </w:rPr>
      </w:pPr>
      <w:r w:rsidRPr="00FA51CC">
        <w:rPr>
          <w:rFonts w:asciiTheme="minorHAnsi" w:hAnsiTheme="minorHAnsi" w:cstheme="minorHAnsi"/>
          <w:b/>
          <w:bCs/>
        </w:rPr>
        <w:t xml:space="preserve">When is COBRA </w:t>
      </w:r>
      <w:r w:rsidR="009E3B86">
        <w:rPr>
          <w:rFonts w:asciiTheme="minorHAnsi" w:hAnsiTheme="minorHAnsi" w:cstheme="minorHAnsi"/>
          <w:b/>
          <w:bCs/>
        </w:rPr>
        <w:t xml:space="preserve">Continuation </w:t>
      </w:r>
      <w:r w:rsidRPr="00FA51CC">
        <w:rPr>
          <w:rFonts w:asciiTheme="minorHAnsi" w:hAnsiTheme="minorHAnsi" w:cstheme="minorHAnsi"/>
          <w:b/>
          <w:bCs/>
        </w:rPr>
        <w:t>Coverage Available?</w:t>
      </w:r>
    </w:p>
    <w:p w:rsidR="00ED73E1" w:rsidRPr="00FA51CC" w:rsidRDefault="00ED73E1" w:rsidP="00ED73E1">
      <w:pPr>
        <w:rPr>
          <w:rFonts w:asciiTheme="minorHAnsi" w:hAnsiTheme="minorHAnsi" w:cstheme="minorHAnsi"/>
          <w:b/>
          <w:bCs/>
        </w:rPr>
      </w:pPr>
    </w:p>
    <w:p w:rsidR="009E3B86" w:rsidRDefault="00ED73E1">
      <w:pPr>
        <w:rPr>
          <w:rFonts w:asciiTheme="minorHAnsi" w:hAnsiTheme="minorHAnsi" w:cstheme="minorHAnsi"/>
        </w:rPr>
      </w:pPr>
      <w:r w:rsidRPr="00FA51CC">
        <w:rPr>
          <w:rFonts w:asciiTheme="minorHAnsi" w:hAnsiTheme="minorHAnsi" w:cstheme="minorHAnsi"/>
        </w:rPr>
        <w:t>The Plan will offer COBRA continuation coverage to qualified beneficiaries only after the Plan Administrator has been notified that a qualifying event has occurred.</w:t>
      </w:r>
      <w:r w:rsidR="009E3B86">
        <w:rPr>
          <w:rFonts w:asciiTheme="minorHAnsi" w:hAnsiTheme="minorHAnsi" w:cstheme="minorHAnsi"/>
        </w:rPr>
        <w:t xml:space="preserve">  The employer must notify the Plan Administrator of the following qualifying events:</w:t>
      </w:r>
    </w:p>
    <w:p w:rsidR="009E3B86" w:rsidRDefault="009E3B86">
      <w:pPr>
        <w:rPr>
          <w:rFonts w:asciiTheme="minorHAnsi" w:hAnsiTheme="minorHAnsi" w:cstheme="minorHAnsi"/>
        </w:rPr>
      </w:pPr>
    </w:p>
    <w:p w:rsidR="009E3B86" w:rsidRDefault="009E3B86" w:rsidP="004F3F86">
      <w:pPr>
        <w:pStyle w:val="ListParagraph"/>
        <w:numPr>
          <w:ilvl w:val="0"/>
          <w:numId w:val="7"/>
        </w:numPr>
        <w:rPr>
          <w:rFonts w:asciiTheme="minorHAnsi" w:hAnsiTheme="minorHAnsi" w:cstheme="minorHAnsi"/>
        </w:rPr>
      </w:pPr>
      <w:r>
        <w:rPr>
          <w:rFonts w:asciiTheme="minorHAnsi" w:hAnsiTheme="minorHAnsi" w:cstheme="minorHAnsi"/>
        </w:rPr>
        <w:t>The end of employment or reduction of hours of employment;</w:t>
      </w:r>
    </w:p>
    <w:p w:rsidR="009E3B86" w:rsidRDefault="009E3B86" w:rsidP="004F3F86">
      <w:pPr>
        <w:pStyle w:val="ListParagraph"/>
        <w:numPr>
          <w:ilvl w:val="0"/>
          <w:numId w:val="7"/>
        </w:numPr>
        <w:rPr>
          <w:rFonts w:asciiTheme="minorHAnsi" w:hAnsiTheme="minorHAnsi" w:cstheme="minorHAnsi"/>
        </w:rPr>
      </w:pPr>
      <w:r>
        <w:rPr>
          <w:rFonts w:asciiTheme="minorHAnsi" w:hAnsiTheme="minorHAnsi" w:cstheme="minorHAnsi"/>
        </w:rPr>
        <w:t>Death of the employee; or</w:t>
      </w:r>
    </w:p>
    <w:p w:rsidR="009E3B86" w:rsidRDefault="009E3B86" w:rsidP="004F3F86">
      <w:pPr>
        <w:pStyle w:val="ListParagraph"/>
        <w:numPr>
          <w:ilvl w:val="0"/>
          <w:numId w:val="7"/>
        </w:numPr>
        <w:rPr>
          <w:rFonts w:asciiTheme="minorHAnsi" w:hAnsiTheme="minorHAnsi" w:cstheme="minorHAnsi"/>
        </w:rPr>
      </w:pPr>
      <w:r>
        <w:rPr>
          <w:rFonts w:asciiTheme="minorHAnsi" w:hAnsiTheme="minorHAnsi" w:cstheme="minorHAnsi"/>
        </w:rPr>
        <w:t xml:space="preserve">The employee’s becoming entitled to </w:t>
      </w:r>
      <w:r w:rsidR="009C77D1">
        <w:rPr>
          <w:rFonts w:asciiTheme="minorHAnsi" w:hAnsiTheme="minorHAnsi" w:cstheme="minorHAnsi"/>
        </w:rPr>
        <w:t>Medicare</w:t>
      </w:r>
      <w:r>
        <w:rPr>
          <w:rFonts w:asciiTheme="minorHAnsi" w:hAnsiTheme="minorHAnsi" w:cstheme="minorHAnsi"/>
        </w:rPr>
        <w:t xml:space="preserve"> </w:t>
      </w:r>
      <w:r w:rsidR="009C77D1">
        <w:rPr>
          <w:rFonts w:asciiTheme="minorHAnsi" w:hAnsiTheme="minorHAnsi" w:cstheme="minorHAnsi"/>
        </w:rPr>
        <w:t>benefits</w:t>
      </w:r>
      <w:r>
        <w:rPr>
          <w:rFonts w:asciiTheme="minorHAnsi" w:hAnsiTheme="minorHAnsi" w:cstheme="minorHAnsi"/>
        </w:rPr>
        <w:t xml:space="preserve"> (under Part A, </w:t>
      </w:r>
      <w:r w:rsidR="009C77D1">
        <w:rPr>
          <w:rFonts w:asciiTheme="minorHAnsi" w:hAnsiTheme="minorHAnsi" w:cstheme="minorHAnsi"/>
        </w:rPr>
        <w:t>Part B,</w:t>
      </w:r>
      <w:r>
        <w:rPr>
          <w:rFonts w:asciiTheme="minorHAnsi" w:hAnsiTheme="minorHAnsi" w:cstheme="minorHAnsi"/>
        </w:rPr>
        <w:t xml:space="preserve"> or both).</w:t>
      </w:r>
    </w:p>
    <w:p w:rsidR="00ED73E1" w:rsidRPr="00FA51CC" w:rsidRDefault="00ED73E1"/>
    <w:p w:rsidR="00ED73E1" w:rsidRPr="00FA51CC" w:rsidRDefault="00ED73E1" w:rsidP="00ED73E1">
      <w:pPr>
        <w:rPr>
          <w:rFonts w:asciiTheme="minorHAnsi" w:hAnsiTheme="minorHAnsi" w:cstheme="minorHAnsi"/>
          <w:b/>
          <w:bCs/>
        </w:rPr>
      </w:pPr>
      <w:r w:rsidRPr="00FA51CC">
        <w:rPr>
          <w:rFonts w:asciiTheme="minorHAnsi" w:hAnsiTheme="minorHAnsi" w:cstheme="minorHAnsi"/>
          <w:b/>
          <w:bCs/>
        </w:rPr>
        <w:t>You Must Give Notice of Some Qualifying Events</w:t>
      </w:r>
    </w:p>
    <w:p w:rsidR="00ED73E1" w:rsidRPr="00FA51CC" w:rsidRDefault="00ED73E1" w:rsidP="00ED73E1">
      <w:pPr>
        <w:rPr>
          <w:rFonts w:asciiTheme="minorHAnsi" w:hAnsiTheme="minorHAnsi" w:cstheme="minorHAnsi"/>
          <w:b/>
          <w:bCs/>
        </w:rPr>
      </w:pPr>
    </w:p>
    <w:p w:rsidR="00ED73E1" w:rsidRPr="00FA51CC" w:rsidRDefault="00ED73E1" w:rsidP="00ED73E1">
      <w:pPr>
        <w:rPr>
          <w:rFonts w:asciiTheme="minorHAnsi" w:hAnsiTheme="minorHAnsi" w:cstheme="minorHAnsi"/>
          <w:b/>
          <w:bCs/>
        </w:rPr>
      </w:pPr>
      <w:r w:rsidRPr="00FA51CC">
        <w:rPr>
          <w:rFonts w:asciiTheme="minorHAnsi" w:hAnsiTheme="minorHAnsi" w:cstheme="minorHAnsi"/>
          <w:bCs/>
        </w:rPr>
        <w:t>For the other qualifying events (divorce or legal separation of the employee and spouse</w:t>
      </w:r>
      <w:r w:rsidR="00FD3282" w:rsidRPr="00FA51CC">
        <w:rPr>
          <w:rFonts w:asciiTheme="minorHAnsi" w:hAnsiTheme="minorHAnsi" w:cstheme="minorHAnsi"/>
          <w:bCs/>
        </w:rPr>
        <w:t>,</w:t>
      </w:r>
      <w:r w:rsidRPr="00FA51CC">
        <w:rPr>
          <w:rFonts w:asciiTheme="minorHAnsi" w:hAnsiTheme="minorHAnsi" w:cstheme="minorHAnsi"/>
          <w:bCs/>
        </w:rPr>
        <w:t xml:space="preserve"> or a dependent child’s losing eligibility for coverage as a dependent child), you must notify the Plan Administrator within 60 days after the qualifying event occurs.  You must provide this notice to MCC’s Human Resources Office.</w:t>
      </w:r>
    </w:p>
    <w:p w:rsidR="00D066C0" w:rsidRDefault="00D066C0" w:rsidP="00ED73E1">
      <w:pPr>
        <w:rPr>
          <w:rFonts w:asciiTheme="minorHAnsi" w:hAnsiTheme="minorHAnsi" w:cstheme="minorHAnsi"/>
          <w:b/>
          <w:bCs/>
        </w:rPr>
      </w:pPr>
    </w:p>
    <w:p w:rsidR="00ED73E1" w:rsidRPr="00FA51CC" w:rsidRDefault="00ED73E1" w:rsidP="00ED73E1">
      <w:pPr>
        <w:rPr>
          <w:rFonts w:asciiTheme="minorHAnsi" w:hAnsiTheme="minorHAnsi" w:cstheme="minorHAnsi"/>
          <w:b/>
          <w:bCs/>
        </w:rPr>
      </w:pPr>
      <w:r w:rsidRPr="00FA51CC">
        <w:rPr>
          <w:rFonts w:asciiTheme="minorHAnsi" w:hAnsiTheme="minorHAnsi" w:cstheme="minorHAnsi"/>
          <w:b/>
          <w:bCs/>
        </w:rPr>
        <w:t>How is COBRA C</w:t>
      </w:r>
      <w:r w:rsidR="005A1390">
        <w:rPr>
          <w:rFonts w:asciiTheme="minorHAnsi" w:hAnsiTheme="minorHAnsi" w:cstheme="minorHAnsi"/>
          <w:b/>
          <w:bCs/>
        </w:rPr>
        <w:t>ontinuation C</w:t>
      </w:r>
      <w:r w:rsidRPr="00FA51CC">
        <w:rPr>
          <w:rFonts w:asciiTheme="minorHAnsi" w:hAnsiTheme="minorHAnsi" w:cstheme="minorHAnsi"/>
          <w:b/>
          <w:bCs/>
        </w:rPr>
        <w:t>overage Provided?</w:t>
      </w:r>
    </w:p>
    <w:p w:rsidR="00ED73E1" w:rsidRPr="00FA51CC" w:rsidRDefault="00ED73E1" w:rsidP="00ED73E1">
      <w:pPr>
        <w:rPr>
          <w:rFonts w:asciiTheme="minorHAnsi" w:hAnsiTheme="minorHAnsi" w:cstheme="minorHAnsi"/>
        </w:rPr>
      </w:pPr>
    </w:p>
    <w:p w:rsidR="00ED73E1" w:rsidRPr="00FA51CC" w:rsidRDefault="00ED73E1" w:rsidP="00ED73E1">
      <w:pPr>
        <w:rPr>
          <w:rFonts w:asciiTheme="minorHAnsi" w:hAnsiTheme="minorHAnsi" w:cstheme="minorHAnsi"/>
        </w:rPr>
      </w:pPr>
      <w:r w:rsidRPr="00FA51CC">
        <w:rPr>
          <w:rFonts w:asciiTheme="minorHAnsi" w:hAnsiTheme="minorHAnsi" w:cstheme="minorHAnsi"/>
        </w:rPr>
        <w:t xml:space="preserve">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  </w:t>
      </w:r>
    </w:p>
    <w:p w:rsidR="00ED73E1" w:rsidRPr="00FA51CC" w:rsidRDefault="00ED73E1" w:rsidP="00ED73E1">
      <w:pPr>
        <w:rPr>
          <w:rFonts w:asciiTheme="minorHAnsi" w:hAnsiTheme="minorHAnsi" w:cstheme="minorHAnsi"/>
        </w:rPr>
      </w:pPr>
    </w:p>
    <w:p w:rsidR="005A1390" w:rsidRDefault="00ED73E1">
      <w:pPr>
        <w:rPr>
          <w:rFonts w:asciiTheme="minorHAnsi" w:hAnsiTheme="minorHAnsi" w:cstheme="minorHAnsi"/>
        </w:rPr>
      </w:pPr>
      <w:r w:rsidRPr="00FA51CC">
        <w:rPr>
          <w:rFonts w:asciiTheme="minorHAnsi" w:hAnsiTheme="minorHAnsi" w:cstheme="minorHAnsi"/>
        </w:rPr>
        <w:t>COBRA continuation coverage is a temporary continuation of coverage</w:t>
      </w:r>
      <w:r w:rsidR="005A1390">
        <w:rPr>
          <w:rFonts w:asciiTheme="minorHAnsi" w:hAnsiTheme="minorHAnsi" w:cstheme="minorHAnsi"/>
        </w:rPr>
        <w:t xml:space="preserve"> that generally lasts for 18 months due to employment termination or </w:t>
      </w:r>
      <w:r w:rsidR="00EE43C7">
        <w:rPr>
          <w:rFonts w:asciiTheme="minorHAnsi" w:hAnsiTheme="minorHAnsi" w:cstheme="minorHAnsi"/>
        </w:rPr>
        <w:t>reduction</w:t>
      </w:r>
      <w:r w:rsidR="005A1390">
        <w:rPr>
          <w:rFonts w:asciiTheme="minorHAnsi" w:hAnsiTheme="minorHAnsi" w:cstheme="minorHAnsi"/>
        </w:rPr>
        <w:t xml:space="preserve"> of hours of work</w:t>
      </w:r>
      <w:r w:rsidR="005A1390" w:rsidRPr="00FA51CC">
        <w:rPr>
          <w:rFonts w:asciiTheme="minorHAnsi" w:hAnsiTheme="minorHAnsi" w:cstheme="minorHAnsi"/>
        </w:rPr>
        <w:t xml:space="preserve">. </w:t>
      </w:r>
      <w:r w:rsidR="00EE43C7">
        <w:rPr>
          <w:rFonts w:asciiTheme="minorHAnsi" w:hAnsiTheme="minorHAnsi" w:cstheme="minorHAnsi"/>
        </w:rPr>
        <w:t>Certain</w:t>
      </w:r>
      <w:r w:rsidR="005A1390">
        <w:rPr>
          <w:rFonts w:asciiTheme="minorHAnsi" w:hAnsiTheme="minorHAnsi" w:cstheme="minorHAnsi"/>
        </w:rPr>
        <w:t xml:space="preserve"> q</w:t>
      </w:r>
      <w:r w:rsidRPr="00FA51CC">
        <w:rPr>
          <w:rFonts w:asciiTheme="minorHAnsi" w:hAnsiTheme="minorHAnsi" w:cstheme="minorHAnsi"/>
        </w:rPr>
        <w:t>ualifying</w:t>
      </w:r>
      <w:r w:rsidR="005A1390">
        <w:rPr>
          <w:rFonts w:asciiTheme="minorHAnsi" w:hAnsiTheme="minorHAnsi" w:cstheme="minorHAnsi"/>
        </w:rPr>
        <w:t xml:space="preserve"> events, or a </w:t>
      </w:r>
      <w:r w:rsidR="005A1390">
        <w:rPr>
          <w:rFonts w:asciiTheme="minorHAnsi" w:hAnsiTheme="minorHAnsi" w:cstheme="minorHAnsi"/>
        </w:rPr>
        <w:lastRenderedPageBreak/>
        <w:t xml:space="preserve">second qualifying event during the </w:t>
      </w:r>
      <w:r w:rsidR="00EE43C7">
        <w:rPr>
          <w:rFonts w:asciiTheme="minorHAnsi" w:hAnsiTheme="minorHAnsi" w:cstheme="minorHAnsi"/>
        </w:rPr>
        <w:t>initial</w:t>
      </w:r>
      <w:r w:rsidR="005A1390">
        <w:rPr>
          <w:rFonts w:asciiTheme="minorHAnsi" w:hAnsiTheme="minorHAnsi" w:cstheme="minorHAnsi"/>
        </w:rPr>
        <w:t xml:space="preserve"> period </w:t>
      </w:r>
      <w:r w:rsidR="00EE43C7">
        <w:rPr>
          <w:rFonts w:asciiTheme="minorHAnsi" w:hAnsiTheme="minorHAnsi" w:cstheme="minorHAnsi"/>
        </w:rPr>
        <w:t>of coverage</w:t>
      </w:r>
      <w:r w:rsidR="005A1390">
        <w:rPr>
          <w:rFonts w:asciiTheme="minorHAnsi" w:hAnsiTheme="minorHAnsi" w:cstheme="minorHAnsi"/>
        </w:rPr>
        <w:t xml:space="preserve">, may </w:t>
      </w:r>
      <w:r w:rsidR="00EE43C7">
        <w:rPr>
          <w:rFonts w:asciiTheme="minorHAnsi" w:hAnsiTheme="minorHAnsi" w:cstheme="minorHAnsi"/>
        </w:rPr>
        <w:t>permit</w:t>
      </w:r>
      <w:r w:rsidR="005A1390">
        <w:rPr>
          <w:rFonts w:asciiTheme="minorHAnsi" w:hAnsiTheme="minorHAnsi" w:cstheme="minorHAnsi"/>
        </w:rPr>
        <w:t xml:space="preserve"> a beneficiary </w:t>
      </w:r>
      <w:r w:rsidR="00EE43C7">
        <w:rPr>
          <w:rFonts w:asciiTheme="minorHAnsi" w:hAnsiTheme="minorHAnsi" w:cstheme="minorHAnsi"/>
        </w:rPr>
        <w:t xml:space="preserve">to receive a maximum of 36 </w:t>
      </w:r>
      <w:r w:rsidR="005A1390">
        <w:rPr>
          <w:rFonts w:asciiTheme="minorHAnsi" w:hAnsiTheme="minorHAnsi" w:cstheme="minorHAnsi"/>
        </w:rPr>
        <w:t>months of coverage.</w:t>
      </w:r>
    </w:p>
    <w:p w:rsidR="005A1390" w:rsidRDefault="005A1390">
      <w:pPr>
        <w:rPr>
          <w:rFonts w:asciiTheme="minorHAnsi" w:hAnsiTheme="minorHAnsi" w:cstheme="minorHAnsi"/>
        </w:rPr>
      </w:pPr>
    </w:p>
    <w:p w:rsidR="005A1390" w:rsidRDefault="005A1390">
      <w:pPr>
        <w:rPr>
          <w:rFonts w:asciiTheme="minorHAnsi" w:hAnsiTheme="minorHAnsi" w:cstheme="minorHAnsi"/>
        </w:rPr>
      </w:pPr>
      <w:r>
        <w:rPr>
          <w:rFonts w:asciiTheme="minorHAnsi" w:hAnsiTheme="minorHAnsi" w:cstheme="minorHAnsi"/>
        </w:rPr>
        <w:t xml:space="preserve">There are also ways in which this 18-month period of COBRA </w:t>
      </w:r>
      <w:r w:rsidR="00EE43C7">
        <w:rPr>
          <w:rFonts w:asciiTheme="minorHAnsi" w:hAnsiTheme="minorHAnsi" w:cstheme="minorHAnsi"/>
        </w:rPr>
        <w:t>continuation</w:t>
      </w:r>
      <w:r>
        <w:rPr>
          <w:rFonts w:asciiTheme="minorHAnsi" w:hAnsiTheme="minorHAnsi" w:cstheme="minorHAnsi"/>
        </w:rPr>
        <w:t xml:space="preserve"> coverage </w:t>
      </w:r>
      <w:proofErr w:type="gramStart"/>
      <w:r>
        <w:rPr>
          <w:rFonts w:asciiTheme="minorHAnsi" w:hAnsiTheme="minorHAnsi" w:cstheme="minorHAnsi"/>
        </w:rPr>
        <w:t>can be extended</w:t>
      </w:r>
      <w:proofErr w:type="gramEnd"/>
      <w:r>
        <w:rPr>
          <w:rFonts w:asciiTheme="minorHAnsi" w:hAnsiTheme="minorHAnsi" w:cstheme="minorHAnsi"/>
        </w:rPr>
        <w:t>:</w:t>
      </w:r>
    </w:p>
    <w:p w:rsidR="00ED73E1" w:rsidRPr="00FA51CC" w:rsidRDefault="00ED73E1">
      <w:pPr>
        <w:rPr>
          <w:rFonts w:asciiTheme="minorHAnsi" w:hAnsiTheme="minorHAnsi" w:cstheme="minorHAnsi"/>
          <w:b/>
          <w:bCs/>
          <w:i/>
          <w:iCs/>
        </w:rPr>
      </w:pPr>
    </w:p>
    <w:p w:rsidR="00ED73E1" w:rsidRPr="005A1390" w:rsidRDefault="00ED73E1" w:rsidP="00ED73E1">
      <w:pPr>
        <w:rPr>
          <w:rFonts w:asciiTheme="minorHAnsi" w:hAnsiTheme="minorHAnsi" w:cstheme="minorHAnsi"/>
          <w:b/>
          <w:bCs/>
          <w:i/>
          <w:iCs/>
        </w:rPr>
      </w:pPr>
      <w:r w:rsidRPr="005A1390">
        <w:rPr>
          <w:rFonts w:asciiTheme="minorHAnsi" w:hAnsiTheme="minorHAnsi" w:cstheme="minorHAnsi"/>
          <w:b/>
          <w:bCs/>
          <w:i/>
          <w:iCs/>
        </w:rPr>
        <w:t>Disability extension of 18-month period</w:t>
      </w:r>
      <w:r w:rsidR="005A1390">
        <w:rPr>
          <w:rFonts w:asciiTheme="minorHAnsi" w:hAnsiTheme="minorHAnsi" w:cstheme="minorHAnsi"/>
          <w:b/>
          <w:bCs/>
          <w:i/>
          <w:iCs/>
        </w:rPr>
        <w:t xml:space="preserve"> of COBRA</w:t>
      </w:r>
      <w:r w:rsidRPr="005A1390">
        <w:rPr>
          <w:rFonts w:asciiTheme="minorHAnsi" w:hAnsiTheme="minorHAnsi" w:cstheme="minorHAnsi"/>
          <w:b/>
          <w:bCs/>
          <w:i/>
          <w:iCs/>
        </w:rPr>
        <w:t xml:space="preserve"> continuation coverage</w:t>
      </w:r>
    </w:p>
    <w:p w:rsidR="00ED73E1" w:rsidRPr="00FA51CC" w:rsidRDefault="00ED73E1" w:rsidP="00ED73E1">
      <w:pPr>
        <w:rPr>
          <w:rFonts w:asciiTheme="minorHAnsi" w:hAnsiTheme="minorHAnsi" w:cstheme="minorHAnsi"/>
        </w:rPr>
      </w:pPr>
    </w:p>
    <w:p w:rsidR="00132438" w:rsidRDefault="00ED73E1" w:rsidP="00ED73E1">
      <w:pPr>
        <w:rPr>
          <w:rFonts w:asciiTheme="minorHAnsi" w:hAnsiTheme="minorHAnsi" w:cstheme="minorHAnsi"/>
        </w:rPr>
      </w:pPr>
      <w:r w:rsidRPr="00FA51CC">
        <w:rPr>
          <w:rFonts w:asciiTheme="minorHAnsi" w:hAnsiTheme="minorHAnsi" w:cstheme="minorHAnsi"/>
        </w:rPr>
        <w:t xml:space="preserve">If you or anyone in your family covered under the Plan is determined by the Social Security Administration to be disabled </w:t>
      </w:r>
      <w:r w:rsidRPr="00E41D78">
        <w:rPr>
          <w:rFonts w:asciiTheme="minorHAnsi" w:hAnsiTheme="minorHAnsi" w:cstheme="minorHAnsi"/>
        </w:rPr>
        <w:t>and you notify the Plan Administrator in a timely fashion</w:t>
      </w:r>
      <w:r w:rsidRPr="00FA51CC">
        <w:rPr>
          <w:rFonts w:asciiTheme="minorHAnsi" w:hAnsiTheme="minorHAnsi" w:cstheme="minorHAnsi"/>
        </w:rPr>
        <w:t xml:space="preserve">, you and your entire family may be entitled to receive up to an additional 11 months of COBRA continuation coverage, for a total maximum of 29 months.  The disability would have to have started at some time before the 60th day of COBRA continuation coverage and must last at least until the end of the 18-month period of </w:t>
      </w:r>
      <w:r w:rsidR="005A1390">
        <w:rPr>
          <w:rFonts w:asciiTheme="minorHAnsi" w:hAnsiTheme="minorHAnsi" w:cstheme="minorHAnsi"/>
        </w:rPr>
        <w:t xml:space="preserve">COBRA </w:t>
      </w:r>
      <w:r w:rsidRPr="00FA51CC">
        <w:rPr>
          <w:rFonts w:asciiTheme="minorHAnsi" w:hAnsiTheme="minorHAnsi" w:cstheme="minorHAnsi"/>
        </w:rPr>
        <w:t>continuation coverage</w:t>
      </w:r>
      <w:r w:rsidRPr="00090792">
        <w:rPr>
          <w:rFonts w:asciiTheme="minorHAnsi" w:hAnsiTheme="minorHAnsi" w:cstheme="minorHAnsi"/>
        </w:rPr>
        <w:t>.</w:t>
      </w:r>
      <w:r w:rsidR="003C7816" w:rsidRPr="00090792">
        <w:rPr>
          <w:rFonts w:asciiTheme="minorHAnsi" w:hAnsiTheme="minorHAnsi" w:cstheme="minorHAnsi"/>
        </w:rPr>
        <w:t xml:space="preserve"> </w:t>
      </w:r>
      <w:r w:rsidR="00E41D78" w:rsidRPr="00090792">
        <w:rPr>
          <w:rFonts w:asciiTheme="minorHAnsi" w:hAnsiTheme="minorHAnsi" w:cstheme="minorHAnsi"/>
        </w:rPr>
        <w:t>C</w:t>
      </w:r>
      <w:r w:rsidR="003C7816" w:rsidRPr="00090792">
        <w:rPr>
          <w:rFonts w:asciiTheme="minorHAnsi" w:hAnsiTheme="minorHAnsi" w:cstheme="minorHAnsi"/>
        </w:rPr>
        <w:t xml:space="preserve">ontact PayFlex </w:t>
      </w:r>
      <w:r w:rsidR="00E41D78" w:rsidRPr="00090792">
        <w:rPr>
          <w:rFonts w:asciiTheme="minorHAnsi" w:hAnsiTheme="minorHAnsi" w:cstheme="minorHAnsi"/>
        </w:rPr>
        <w:t>COBRA Administration at 402-347-0</w:t>
      </w:r>
      <w:r w:rsidR="00090792" w:rsidRPr="00132438">
        <w:rPr>
          <w:rFonts w:asciiTheme="minorHAnsi" w:hAnsiTheme="minorHAnsi" w:cstheme="minorHAnsi"/>
        </w:rPr>
        <w:t xml:space="preserve">666 </w:t>
      </w:r>
      <w:r w:rsidR="003C7816" w:rsidRPr="00090792">
        <w:rPr>
          <w:rFonts w:asciiTheme="minorHAnsi" w:hAnsiTheme="minorHAnsi" w:cstheme="minorHAnsi"/>
        </w:rPr>
        <w:t>prior to the expiration of the 18-month period of continuation coverage.</w:t>
      </w:r>
      <w:r w:rsidRPr="00FA51CC">
        <w:rPr>
          <w:rFonts w:asciiTheme="minorHAnsi" w:hAnsiTheme="minorHAnsi" w:cstheme="minorHAnsi"/>
        </w:rPr>
        <w:t xml:space="preserve">  </w:t>
      </w:r>
    </w:p>
    <w:p w:rsidR="00132438" w:rsidRDefault="00132438" w:rsidP="00ED73E1">
      <w:pPr>
        <w:rPr>
          <w:rFonts w:asciiTheme="minorHAnsi" w:hAnsiTheme="minorHAnsi" w:cstheme="minorHAnsi"/>
        </w:rPr>
      </w:pPr>
    </w:p>
    <w:p w:rsidR="00ED73E1" w:rsidRPr="005A1390" w:rsidRDefault="00ED73E1" w:rsidP="00ED73E1">
      <w:pPr>
        <w:rPr>
          <w:rFonts w:asciiTheme="minorHAnsi" w:hAnsiTheme="minorHAnsi" w:cstheme="minorHAnsi"/>
          <w:b/>
          <w:bCs/>
          <w:i/>
          <w:iCs/>
        </w:rPr>
      </w:pPr>
      <w:r w:rsidRPr="005A1390">
        <w:rPr>
          <w:rFonts w:asciiTheme="minorHAnsi" w:hAnsiTheme="minorHAnsi" w:cstheme="minorHAnsi"/>
          <w:b/>
          <w:bCs/>
          <w:i/>
          <w:iCs/>
        </w:rPr>
        <w:t>Second qualifying event extension of 18-month period of continuation coverage</w:t>
      </w:r>
    </w:p>
    <w:p w:rsidR="00ED73E1" w:rsidRPr="00FA51CC" w:rsidRDefault="00ED73E1" w:rsidP="00ED73E1">
      <w:pPr>
        <w:rPr>
          <w:rFonts w:asciiTheme="minorHAnsi" w:hAnsiTheme="minorHAnsi" w:cstheme="minorHAnsi"/>
        </w:rPr>
      </w:pPr>
    </w:p>
    <w:p w:rsidR="00787AC5" w:rsidRDefault="00ED73E1" w:rsidP="00ED73E1">
      <w:pPr>
        <w:rPr>
          <w:rFonts w:asciiTheme="minorHAnsi" w:hAnsiTheme="minorHAnsi" w:cstheme="minorHAnsi"/>
          <w:b/>
          <w:bCs/>
        </w:rPr>
      </w:pPr>
      <w:r w:rsidRPr="00FA51CC">
        <w:rPr>
          <w:rFonts w:asciiTheme="minorHAnsi" w:hAnsiTheme="minorHAnsi" w:cstheme="minorHAnsi"/>
        </w:rPr>
        <w:t>If your family experiences another qualifying event while receiving 18 months of COBRA continuation coverage, the spouse and dependent children in your family can get up to 18 additional months of COBRA continuation coverage, for a maximum of 36 months, if notice of the second qualifying event is properly given to the Plan.  This extension may be available to the spouse and any dependent children receiving continuation coverage if the employee or former employee dies</w:t>
      </w:r>
      <w:r w:rsidR="005A1390">
        <w:rPr>
          <w:rFonts w:asciiTheme="minorHAnsi" w:hAnsiTheme="minorHAnsi" w:cstheme="minorHAnsi"/>
        </w:rPr>
        <w:t xml:space="preserve">; </w:t>
      </w:r>
      <w:r w:rsidRPr="00FA51CC">
        <w:rPr>
          <w:rFonts w:asciiTheme="minorHAnsi" w:hAnsiTheme="minorHAnsi" w:cstheme="minorHAnsi"/>
        </w:rPr>
        <w:t>becomes entitled to Medicare benefits (under Part A, Part B, or both)</w:t>
      </w:r>
      <w:r w:rsidR="005A1390">
        <w:rPr>
          <w:rFonts w:asciiTheme="minorHAnsi" w:hAnsiTheme="minorHAnsi" w:cstheme="minorHAnsi"/>
        </w:rPr>
        <w:t xml:space="preserve">; </w:t>
      </w:r>
      <w:r w:rsidRPr="00FA51CC">
        <w:rPr>
          <w:rFonts w:asciiTheme="minorHAnsi" w:hAnsiTheme="minorHAnsi" w:cstheme="minorHAnsi"/>
        </w:rPr>
        <w:t>gets divorced or legally separated</w:t>
      </w:r>
      <w:r w:rsidR="005A1390">
        <w:rPr>
          <w:rFonts w:asciiTheme="minorHAnsi" w:hAnsiTheme="minorHAnsi" w:cstheme="minorHAnsi"/>
        </w:rPr>
        <w:t xml:space="preserve">; </w:t>
      </w:r>
      <w:r w:rsidRPr="00FA51CC">
        <w:rPr>
          <w:rFonts w:asciiTheme="minorHAnsi" w:hAnsiTheme="minorHAnsi" w:cstheme="minorHAnsi"/>
        </w:rPr>
        <w:t>or if the dependent child stops being eligible under the Plan as a dependent child</w:t>
      </w:r>
      <w:r w:rsidR="005A1390">
        <w:rPr>
          <w:rFonts w:asciiTheme="minorHAnsi" w:hAnsiTheme="minorHAnsi" w:cstheme="minorHAnsi"/>
        </w:rPr>
        <w:t>.</w:t>
      </w:r>
      <w:r w:rsidRPr="00FA51CC">
        <w:rPr>
          <w:rFonts w:asciiTheme="minorHAnsi" w:hAnsiTheme="minorHAnsi" w:cstheme="minorHAnsi"/>
        </w:rPr>
        <w:t xml:space="preserve"> </w:t>
      </w:r>
      <w:r w:rsidR="005A1390">
        <w:rPr>
          <w:rFonts w:asciiTheme="minorHAnsi" w:hAnsiTheme="minorHAnsi" w:cstheme="minorHAnsi"/>
        </w:rPr>
        <w:t xml:space="preserve">This </w:t>
      </w:r>
      <w:r w:rsidR="00EE43C7">
        <w:rPr>
          <w:rFonts w:asciiTheme="minorHAnsi" w:hAnsiTheme="minorHAnsi" w:cstheme="minorHAnsi"/>
        </w:rPr>
        <w:t>extension</w:t>
      </w:r>
      <w:r w:rsidR="005A1390">
        <w:rPr>
          <w:rFonts w:asciiTheme="minorHAnsi" w:hAnsiTheme="minorHAnsi" w:cstheme="minorHAnsi"/>
        </w:rPr>
        <w:t xml:space="preserve"> is only available if </w:t>
      </w:r>
      <w:r w:rsidRPr="00FA51CC">
        <w:rPr>
          <w:rFonts w:asciiTheme="minorHAnsi" w:hAnsiTheme="minorHAnsi" w:cstheme="minorHAnsi"/>
        </w:rPr>
        <w:t xml:space="preserve">the </w:t>
      </w:r>
      <w:r w:rsidR="005A1390">
        <w:rPr>
          <w:rFonts w:asciiTheme="minorHAnsi" w:hAnsiTheme="minorHAnsi" w:cstheme="minorHAnsi"/>
        </w:rPr>
        <w:t xml:space="preserve">se3cond qualifying </w:t>
      </w:r>
      <w:r w:rsidRPr="00FA51CC">
        <w:rPr>
          <w:rFonts w:asciiTheme="minorHAnsi" w:hAnsiTheme="minorHAnsi" w:cstheme="minorHAnsi"/>
        </w:rPr>
        <w:t>event would have caused the spouse or dependent child to lose coverage under the Plan had the first qualifying event not occurred.</w:t>
      </w:r>
    </w:p>
    <w:p w:rsidR="00787AC5" w:rsidRDefault="00787AC5" w:rsidP="00ED73E1">
      <w:pPr>
        <w:rPr>
          <w:rFonts w:asciiTheme="minorHAnsi" w:hAnsiTheme="minorHAnsi" w:cstheme="minorHAnsi"/>
          <w:b/>
          <w:bCs/>
        </w:rPr>
      </w:pPr>
    </w:p>
    <w:p w:rsidR="00ED73E1" w:rsidRPr="00FA51CC" w:rsidRDefault="005A1390" w:rsidP="00ED73E1">
      <w:pPr>
        <w:rPr>
          <w:rFonts w:asciiTheme="minorHAnsi" w:hAnsiTheme="minorHAnsi" w:cstheme="minorHAnsi"/>
          <w:b/>
          <w:bCs/>
        </w:rPr>
      </w:pPr>
      <w:r>
        <w:rPr>
          <w:rFonts w:asciiTheme="minorHAnsi" w:hAnsiTheme="minorHAnsi" w:cstheme="minorHAnsi"/>
          <w:b/>
          <w:bCs/>
        </w:rPr>
        <w:t xml:space="preserve">Are </w:t>
      </w:r>
      <w:r w:rsidR="00EE43C7">
        <w:rPr>
          <w:rFonts w:asciiTheme="minorHAnsi" w:hAnsiTheme="minorHAnsi" w:cstheme="minorHAnsi"/>
          <w:b/>
          <w:bCs/>
        </w:rPr>
        <w:t xml:space="preserve">there </w:t>
      </w:r>
      <w:r>
        <w:rPr>
          <w:rFonts w:asciiTheme="minorHAnsi" w:hAnsiTheme="minorHAnsi" w:cstheme="minorHAnsi"/>
          <w:b/>
          <w:bCs/>
        </w:rPr>
        <w:t xml:space="preserve">other coverage </w:t>
      </w:r>
      <w:r w:rsidR="00EE43C7">
        <w:rPr>
          <w:rFonts w:asciiTheme="minorHAnsi" w:hAnsiTheme="minorHAnsi" w:cstheme="minorHAnsi"/>
          <w:b/>
          <w:bCs/>
        </w:rPr>
        <w:t>options</w:t>
      </w:r>
      <w:r>
        <w:rPr>
          <w:rFonts w:asciiTheme="minorHAnsi" w:hAnsiTheme="minorHAnsi" w:cstheme="minorHAnsi"/>
          <w:b/>
          <w:bCs/>
        </w:rPr>
        <w:t xml:space="preserve"> besides </w:t>
      </w:r>
      <w:r w:rsidR="00ED73E1" w:rsidRPr="00FA51CC">
        <w:rPr>
          <w:rFonts w:asciiTheme="minorHAnsi" w:hAnsiTheme="minorHAnsi" w:cstheme="minorHAnsi"/>
          <w:b/>
          <w:bCs/>
        </w:rPr>
        <w:t>COBRA Continuation Coverag</w:t>
      </w:r>
      <w:r>
        <w:rPr>
          <w:rFonts w:asciiTheme="minorHAnsi" w:hAnsiTheme="minorHAnsi" w:cstheme="minorHAnsi"/>
          <w:b/>
          <w:bCs/>
        </w:rPr>
        <w:t>e?</w:t>
      </w:r>
    </w:p>
    <w:p w:rsidR="00ED73E1" w:rsidRDefault="00ED73E1" w:rsidP="00ED73E1">
      <w:pPr>
        <w:rPr>
          <w:rFonts w:asciiTheme="minorHAnsi" w:hAnsiTheme="minorHAnsi" w:cstheme="minorHAnsi"/>
        </w:rPr>
      </w:pPr>
    </w:p>
    <w:p w:rsidR="005A1390" w:rsidRDefault="005A1390" w:rsidP="00ED73E1">
      <w:pPr>
        <w:rPr>
          <w:rFonts w:asciiTheme="minorHAnsi" w:hAnsiTheme="minorHAnsi" w:cstheme="minorHAnsi"/>
        </w:rPr>
      </w:pPr>
      <w:r>
        <w:rPr>
          <w:rFonts w:asciiTheme="minorHAnsi" w:hAnsiTheme="minorHAnsi" w:cstheme="minorHAnsi"/>
        </w:rPr>
        <w:t xml:space="preserve">Yes.  Instead of enrolling in COBRA continuation </w:t>
      </w:r>
      <w:r w:rsidR="00EE43C7">
        <w:rPr>
          <w:rFonts w:asciiTheme="minorHAnsi" w:hAnsiTheme="minorHAnsi" w:cstheme="minorHAnsi"/>
        </w:rPr>
        <w:t>coverage</w:t>
      </w:r>
      <w:r>
        <w:rPr>
          <w:rFonts w:asciiTheme="minorHAnsi" w:hAnsiTheme="minorHAnsi" w:cstheme="minorHAnsi"/>
        </w:rPr>
        <w:t xml:space="preserve">, there may be other coverage options for you and your </w:t>
      </w:r>
      <w:r w:rsidR="00EE43C7">
        <w:rPr>
          <w:rFonts w:asciiTheme="minorHAnsi" w:hAnsiTheme="minorHAnsi" w:cstheme="minorHAnsi"/>
        </w:rPr>
        <w:t>family</w:t>
      </w:r>
      <w:r>
        <w:rPr>
          <w:rFonts w:asciiTheme="minorHAnsi" w:hAnsiTheme="minorHAnsi" w:cstheme="minorHAnsi"/>
        </w:rPr>
        <w:t xml:space="preserve"> through the Health </w:t>
      </w:r>
      <w:r w:rsidR="00EE43C7">
        <w:rPr>
          <w:rFonts w:asciiTheme="minorHAnsi" w:hAnsiTheme="minorHAnsi" w:cstheme="minorHAnsi"/>
        </w:rPr>
        <w:t>Insurance</w:t>
      </w:r>
      <w:r>
        <w:rPr>
          <w:rFonts w:asciiTheme="minorHAnsi" w:hAnsiTheme="minorHAnsi" w:cstheme="minorHAnsi"/>
        </w:rPr>
        <w:t xml:space="preserve"> Marketplace, Medicare, </w:t>
      </w:r>
      <w:r w:rsidR="00EE43C7">
        <w:rPr>
          <w:rFonts w:asciiTheme="minorHAnsi" w:hAnsiTheme="minorHAnsi" w:cstheme="minorHAnsi"/>
        </w:rPr>
        <w:t>Medicaid</w:t>
      </w:r>
      <w:r>
        <w:rPr>
          <w:rFonts w:asciiTheme="minorHAnsi" w:hAnsiTheme="minorHAnsi" w:cstheme="minorHAnsi"/>
        </w:rPr>
        <w:t xml:space="preserve">, </w:t>
      </w:r>
      <w:r w:rsidR="00EE43C7">
        <w:rPr>
          <w:rFonts w:asciiTheme="minorHAnsi" w:hAnsiTheme="minorHAnsi" w:cstheme="minorHAnsi"/>
        </w:rPr>
        <w:t>Children’s</w:t>
      </w:r>
      <w:r>
        <w:rPr>
          <w:rFonts w:asciiTheme="minorHAnsi" w:hAnsiTheme="minorHAnsi" w:cstheme="minorHAnsi"/>
        </w:rPr>
        <w:t xml:space="preserve"> Health </w:t>
      </w:r>
      <w:r w:rsidR="00EE43C7">
        <w:rPr>
          <w:rFonts w:asciiTheme="minorHAnsi" w:hAnsiTheme="minorHAnsi" w:cstheme="minorHAnsi"/>
        </w:rPr>
        <w:t>Insurance</w:t>
      </w:r>
      <w:r>
        <w:rPr>
          <w:rFonts w:asciiTheme="minorHAnsi" w:hAnsiTheme="minorHAnsi" w:cstheme="minorHAnsi"/>
        </w:rPr>
        <w:t xml:space="preserve"> Program (CHIP), or other group health plan coverage options (such as a </w:t>
      </w:r>
      <w:r w:rsidR="00EE43C7">
        <w:rPr>
          <w:rFonts w:asciiTheme="minorHAnsi" w:hAnsiTheme="minorHAnsi" w:cstheme="minorHAnsi"/>
        </w:rPr>
        <w:t>spouse’s</w:t>
      </w:r>
      <w:r>
        <w:rPr>
          <w:rFonts w:asciiTheme="minorHAnsi" w:hAnsiTheme="minorHAnsi" w:cstheme="minorHAnsi"/>
        </w:rPr>
        <w:t xml:space="preserve"> plan) through </w:t>
      </w:r>
      <w:r w:rsidR="00EE43C7">
        <w:rPr>
          <w:rFonts w:asciiTheme="minorHAnsi" w:hAnsiTheme="minorHAnsi" w:cstheme="minorHAnsi"/>
        </w:rPr>
        <w:t>what</w:t>
      </w:r>
      <w:r>
        <w:rPr>
          <w:rFonts w:asciiTheme="minorHAnsi" w:hAnsiTheme="minorHAnsi" w:cstheme="minorHAnsi"/>
        </w:rPr>
        <w:t xml:space="preserve"> is called a “special enrollment period.”  Some of these options may </w:t>
      </w:r>
      <w:r w:rsidR="00EE43C7">
        <w:rPr>
          <w:rFonts w:asciiTheme="minorHAnsi" w:hAnsiTheme="minorHAnsi" w:cstheme="minorHAnsi"/>
        </w:rPr>
        <w:t>cost</w:t>
      </w:r>
      <w:r>
        <w:rPr>
          <w:rFonts w:asciiTheme="minorHAnsi" w:hAnsiTheme="minorHAnsi" w:cstheme="minorHAnsi"/>
        </w:rPr>
        <w:t xml:space="preserve"> less than COBRA </w:t>
      </w:r>
      <w:r w:rsidR="00EE43C7">
        <w:rPr>
          <w:rFonts w:asciiTheme="minorHAnsi" w:hAnsiTheme="minorHAnsi" w:cstheme="minorHAnsi"/>
        </w:rPr>
        <w:t>continuation</w:t>
      </w:r>
      <w:r>
        <w:rPr>
          <w:rFonts w:asciiTheme="minorHAnsi" w:hAnsiTheme="minorHAnsi" w:cstheme="minorHAnsi"/>
        </w:rPr>
        <w:t xml:space="preserve"> </w:t>
      </w:r>
      <w:r w:rsidR="00EE43C7">
        <w:rPr>
          <w:rFonts w:asciiTheme="minorHAnsi" w:hAnsiTheme="minorHAnsi" w:cstheme="minorHAnsi"/>
        </w:rPr>
        <w:t>coverage</w:t>
      </w:r>
      <w:r>
        <w:rPr>
          <w:rFonts w:asciiTheme="minorHAnsi" w:hAnsiTheme="minorHAnsi" w:cstheme="minorHAnsi"/>
        </w:rPr>
        <w:t xml:space="preserve">.  You can learn more about many of these options at </w:t>
      </w:r>
      <w:hyperlink r:id="rId8" w:history="1">
        <w:r w:rsidRPr="00B64B3F">
          <w:rPr>
            <w:rStyle w:val="Hyperlink"/>
            <w:rFonts w:asciiTheme="minorHAnsi" w:hAnsiTheme="minorHAnsi" w:cstheme="minorHAnsi"/>
          </w:rPr>
          <w:t>www.healthcare.gov</w:t>
        </w:r>
      </w:hyperlink>
      <w:r>
        <w:rPr>
          <w:rFonts w:asciiTheme="minorHAnsi" w:hAnsiTheme="minorHAnsi" w:cstheme="minorHAnsi"/>
        </w:rPr>
        <w:t xml:space="preserve">. </w:t>
      </w:r>
    </w:p>
    <w:p w:rsidR="005A1390" w:rsidRDefault="005A1390" w:rsidP="00ED73E1">
      <w:pPr>
        <w:rPr>
          <w:rFonts w:asciiTheme="minorHAnsi" w:hAnsiTheme="minorHAnsi" w:cstheme="minorHAnsi"/>
        </w:rPr>
      </w:pPr>
    </w:p>
    <w:p w:rsidR="005A1390" w:rsidRPr="004F3F86" w:rsidRDefault="00EE43C7" w:rsidP="00ED73E1">
      <w:pPr>
        <w:rPr>
          <w:rFonts w:asciiTheme="minorHAnsi" w:hAnsiTheme="minorHAnsi" w:cstheme="minorHAnsi"/>
          <w:b/>
        </w:rPr>
      </w:pPr>
      <w:r>
        <w:rPr>
          <w:rFonts w:asciiTheme="minorHAnsi" w:hAnsiTheme="minorHAnsi" w:cstheme="minorHAnsi"/>
          <w:b/>
        </w:rPr>
        <w:t>Can I enroll in Medicare</w:t>
      </w:r>
      <w:r w:rsidR="005A1390" w:rsidRPr="004F3F86">
        <w:rPr>
          <w:rFonts w:asciiTheme="minorHAnsi" w:hAnsiTheme="minorHAnsi" w:cstheme="minorHAnsi"/>
          <w:b/>
        </w:rPr>
        <w:t xml:space="preserve"> instead of COBRA </w:t>
      </w:r>
      <w:r w:rsidRPr="00EE43C7">
        <w:rPr>
          <w:rFonts w:asciiTheme="minorHAnsi" w:hAnsiTheme="minorHAnsi" w:cstheme="minorHAnsi"/>
          <w:b/>
        </w:rPr>
        <w:t>Continuation</w:t>
      </w:r>
      <w:r w:rsidR="005A1390" w:rsidRPr="004F3F86">
        <w:rPr>
          <w:rFonts w:asciiTheme="minorHAnsi" w:hAnsiTheme="minorHAnsi" w:cstheme="minorHAnsi"/>
          <w:b/>
        </w:rPr>
        <w:t xml:space="preserve"> Coverage after my group health plan coverage ends?</w:t>
      </w:r>
    </w:p>
    <w:p w:rsidR="005A1390" w:rsidRDefault="005A1390" w:rsidP="00ED73E1">
      <w:pPr>
        <w:rPr>
          <w:rFonts w:asciiTheme="minorHAnsi" w:hAnsiTheme="minorHAnsi" w:cstheme="minorHAnsi"/>
          <w:b/>
        </w:rPr>
      </w:pPr>
    </w:p>
    <w:p w:rsidR="00EE43C7" w:rsidRDefault="00EE43C7" w:rsidP="00ED73E1">
      <w:pPr>
        <w:rPr>
          <w:rFonts w:asciiTheme="minorHAnsi" w:hAnsiTheme="minorHAnsi" w:cstheme="minorHAnsi"/>
        </w:rPr>
      </w:pPr>
      <w:r>
        <w:rPr>
          <w:rFonts w:asciiTheme="minorHAnsi" w:hAnsiTheme="minorHAnsi" w:cstheme="minorHAnsi"/>
        </w:rPr>
        <w:t>In general, if you don’t enroll in Medicare Part A or B when you are first eligible because you are still employed, after the Medicare initial enrollment period, you have an 8-month special enrollment period to sign up for Medicare Part A or B, beginning on the earlier of:</w:t>
      </w:r>
    </w:p>
    <w:p w:rsidR="009C77D1" w:rsidRDefault="00EE43C7" w:rsidP="004F3F86">
      <w:pPr>
        <w:pStyle w:val="ListParagraph"/>
        <w:numPr>
          <w:ilvl w:val="0"/>
          <w:numId w:val="10"/>
        </w:numPr>
        <w:rPr>
          <w:rFonts w:asciiTheme="minorHAnsi" w:hAnsiTheme="minorHAnsi" w:cstheme="minorHAnsi"/>
        </w:rPr>
      </w:pPr>
      <w:r>
        <w:rPr>
          <w:rFonts w:asciiTheme="minorHAnsi" w:hAnsiTheme="minorHAnsi" w:cstheme="minorHAnsi"/>
        </w:rPr>
        <w:t>The month after your employment ends; or</w:t>
      </w:r>
    </w:p>
    <w:p w:rsidR="00EE43C7" w:rsidRPr="00EE43C7" w:rsidRDefault="00EE43C7" w:rsidP="004F3F86">
      <w:pPr>
        <w:pStyle w:val="ListParagraph"/>
        <w:numPr>
          <w:ilvl w:val="0"/>
          <w:numId w:val="10"/>
        </w:numPr>
      </w:pPr>
      <w:r w:rsidRPr="004F3F86">
        <w:rPr>
          <w:rFonts w:asciiTheme="minorHAnsi" w:hAnsiTheme="minorHAnsi" w:cstheme="minorHAnsi"/>
        </w:rPr>
        <w:t xml:space="preserve">The </w:t>
      </w:r>
      <w:r w:rsidRPr="009C77D1">
        <w:rPr>
          <w:rFonts w:asciiTheme="minorHAnsi" w:hAnsiTheme="minorHAnsi" w:cstheme="minorHAnsi"/>
        </w:rPr>
        <w:t xml:space="preserve">month </w:t>
      </w:r>
      <w:r w:rsidRPr="004F3F86">
        <w:rPr>
          <w:rFonts w:asciiTheme="minorHAnsi" w:hAnsiTheme="minorHAnsi" w:cstheme="minorHAnsi"/>
        </w:rPr>
        <w:t>after</w:t>
      </w:r>
      <w:r w:rsidRPr="009C77D1">
        <w:rPr>
          <w:rFonts w:asciiTheme="minorHAnsi" w:hAnsiTheme="minorHAnsi" w:cstheme="minorHAnsi"/>
        </w:rPr>
        <w:t xml:space="preserve"> </w:t>
      </w:r>
      <w:proofErr w:type="gramStart"/>
      <w:r w:rsidRPr="004F3F86">
        <w:rPr>
          <w:rFonts w:asciiTheme="minorHAnsi" w:hAnsiTheme="minorHAnsi" w:cstheme="minorHAnsi"/>
        </w:rPr>
        <w:t>group</w:t>
      </w:r>
      <w:r w:rsidRPr="009C77D1">
        <w:rPr>
          <w:rFonts w:asciiTheme="minorHAnsi" w:hAnsiTheme="minorHAnsi" w:cstheme="minorHAnsi"/>
        </w:rPr>
        <w:t xml:space="preserve"> </w:t>
      </w:r>
      <w:r w:rsidR="009C77D1" w:rsidRPr="009C77D1">
        <w:rPr>
          <w:rFonts w:asciiTheme="minorHAnsi" w:hAnsiTheme="minorHAnsi" w:cstheme="minorHAnsi"/>
        </w:rPr>
        <w:t>health</w:t>
      </w:r>
      <w:r w:rsidRPr="009C77D1">
        <w:rPr>
          <w:rFonts w:asciiTheme="minorHAnsi" w:hAnsiTheme="minorHAnsi" w:cstheme="minorHAnsi"/>
        </w:rPr>
        <w:t xml:space="preserve"> </w:t>
      </w:r>
      <w:r w:rsidRPr="004F3F86">
        <w:rPr>
          <w:rFonts w:asciiTheme="minorHAnsi" w:hAnsiTheme="minorHAnsi" w:cstheme="minorHAnsi"/>
        </w:rPr>
        <w:t>plan</w:t>
      </w:r>
      <w:r w:rsidRPr="009C77D1">
        <w:rPr>
          <w:rFonts w:asciiTheme="minorHAnsi" w:hAnsiTheme="minorHAnsi" w:cstheme="minorHAnsi"/>
        </w:rPr>
        <w:t xml:space="preserve"> coverage</w:t>
      </w:r>
      <w:proofErr w:type="gramEnd"/>
      <w:r w:rsidRPr="009C77D1">
        <w:rPr>
          <w:rFonts w:asciiTheme="minorHAnsi" w:hAnsiTheme="minorHAnsi" w:cstheme="minorHAnsi"/>
        </w:rPr>
        <w:t xml:space="preserve"> based on current employment ends.</w:t>
      </w:r>
    </w:p>
    <w:p w:rsidR="00EE43C7" w:rsidRPr="004F3F86" w:rsidRDefault="00EE43C7">
      <w:pPr>
        <w:rPr>
          <w:rFonts w:asciiTheme="minorHAnsi" w:hAnsiTheme="minorHAnsi" w:cstheme="minorHAnsi"/>
        </w:rPr>
      </w:pPr>
    </w:p>
    <w:p w:rsidR="00EE43C7" w:rsidRPr="004F3F86" w:rsidRDefault="00EE43C7">
      <w:pPr>
        <w:rPr>
          <w:rFonts w:asciiTheme="minorHAnsi" w:hAnsiTheme="minorHAnsi" w:cstheme="minorHAnsi"/>
        </w:rPr>
      </w:pPr>
      <w:r w:rsidRPr="004F3F86">
        <w:rPr>
          <w:rFonts w:asciiTheme="minorHAnsi" w:hAnsiTheme="minorHAnsi" w:cstheme="minorHAnsi"/>
        </w:rPr>
        <w:t xml:space="preserve">If you don’t enroll in </w:t>
      </w:r>
      <w:r w:rsidR="009C77D1" w:rsidRPr="00EE43C7">
        <w:rPr>
          <w:rFonts w:asciiTheme="minorHAnsi" w:hAnsiTheme="minorHAnsi" w:cstheme="minorHAnsi"/>
        </w:rPr>
        <w:t>Medicare</w:t>
      </w:r>
      <w:r w:rsidRPr="004F3F86">
        <w:rPr>
          <w:rFonts w:asciiTheme="minorHAnsi" w:hAnsiTheme="minorHAnsi" w:cstheme="minorHAnsi"/>
        </w:rPr>
        <w:t xml:space="preserve"> and elect COBRA </w:t>
      </w:r>
      <w:r w:rsidR="009C77D1" w:rsidRPr="00EE43C7">
        <w:rPr>
          <w:rFonts w:asciiTheme="minorHAnsi" w:hAnsiTheme="minorHAnsi" w:cstheme="minorHAnsi"/>
        </w:rPr>
        <w:t>continuation</w:t>
      </w:r>
      <w:r w:rsidRPr="004F3F86">
        <w:rPr>
          <w:rFonts w:asciiTheme="minorHAnsi" w:hAnsiTheme="minorHAnsi" w:cstheme="minorHAnsi"/>
        </w:rPr>
        <w:t xml:space="preserve"> </w:t>
      </w:r>
      <w:r w:rsidR="009C77D1">
        <w:rPr>
          <w:rFonts w:asciiTheme="minorHAnsi" w:hAnsiTheme="minorHAnsi" w:cstheme="minorHAnsi"/>
        </w:rPr>
        <w:t>coverage instead</w:t>
      </w:r>
      <w:r w:rsidRPr="004F3F86">
        <w:rPr>
          <w:rFonts w:asciiTheme="minorHAnsi" w:hAnsiTheme="minorHAnsi" w:cstheme="minorHAnsi"/>
        </w:rPr>
        <w:t xml:space="preserve">, you may have to pay a Part B late enrollment penalty and you may have a gap in coverage if you decide you want Part B later.  If you </w:t>
      </w:r>
      <w:r w:rsidR="009C77D1" w:rsidRPr="00EE43C7">
        <w:rPr>
          <w:rFonts w:asciiTheme="minorHAnsi" w:hAnsiTheme="minorHAnsi" w:cstheme="minorHAnsi"/>
        </w:rPr>
        <w:t>elect</w:t>
      </w:r>
      <w:r w:rsidR="009C77D1">
        <w:rPr>
          <w:rFonts w:asciiTheme="minorHAnsi" w:hAnsiTheme="minorHAnsi" w:cstheme="minorHAnsi"/>
        </w:rPr>
        <w:t xml:space="preserve"> COBRA continuation</w:t>
      </w:r>
      <w:r w:rsidRPr="004F3F86">
        <w:rPr>
          <w:rFonts w:asciiTheme="minorHAnsi" w:hAnsiTheme="minorHAnsi" w:cstheme="minorHAnsi"/>
        </w:rPr>
        <w:t xml:space="preserve"> coverage and later enroll in </w:t>
      </w:r>
      <w:r w:rsidR="009C77D1" w:rsidRPr="00EE43C7">
        <w:rPr>
          <w:rFonts w:asciiTheme="minorHAnsi" w:hAnsiTheme="minorHAnsi" w:cstheme="minorHAnsi"/>
        </w:rPr>
        <w:t>Medicare</w:t>
      </w:r>
      <w:r w:rsidRPr="004F3F86">
        <w:rPr>
          <w:rFonts w:asciiTheme="minorHAnsi" w:hAnsiTheme="minorHAnsi" w:cstheme="minorHAnsi"/>
        </w:rPr>
        <w:t xml:space="preserve"> Part A or B before the COBRA continuation coverage ends, the Plan may terminate </w:t>
      </w:r>
      <w:r w:rsidR="009C77D1" w:rsidRPr="00EE43C7">
        <w:rPr>
          <w:rFonts w:asciiTheme="minorHAnsi" w:hAnsiTheme="minorHAnsi" w:cstheme="minorHAnsi"/>
        </w:rPr>
        <w:t>your</w:t>
      </w:r>
      <w:r w:rsidRPr="004F3F86">
        <w:rPr>
          <w:rFonts w:asciiTheme="minorHAnsi" w:hAnsiTheme="minorHAnsi" w:cstheme="minorHAnsi"/>
        </w:rPr>
        <w:t xml:space="preserve"> continuation coverage.  However, if </w:t>
      </w:r>
      <w:r w:rsidR="009C77D1" w:rsidRPr="00EE43C7">
        <w:rPr>
          <w:rFonts w:asciiTheme="minorHAnsi" w:hAnsiTheme="minorHAnsi" w:cstheme="minorHAnsi"/>
        </w:rPr>
        <w:t>Medicare</w:t>
      </w:r>
      <w:r w:rsidRPr="004F3F86">
        <w:rPr>
          <w:rFonts w:asciiTheme="minorHAnsi" w:hAnsiTheme="minorHAnsi" w:cstheme="minorHAnsi"/>
        </w:rPr>
        <w:t xml:space="preserve"> Part A or B is effective on or before the date of the COBRA election, COBRA may not be discontinued on account of </w:t>
      </w:r>
      <w:r w:rsidR="009C77D1" w:rsidRPr="00EE43C7">
        <w:rPr>
          <w:rFonts w:asciiTheme="minorHAnsi" w:hAnsiTheme="minorHAnsi" w:cstheme="minorHAnsi"/>
        </w:rPr>
        <w:t>Medicare</w:t>
      </w:r>
      <w:r w:rsidRPr="004F3F86">
        <w:rPr>
          <w:rFonts w:asciiTheme="minorHAnsi" w:hAnsiTheme="minorHAnsi" w:cstheme="minorHAnsi"/>
        </w:rPr>
        <w:t xml:space="preserve"> entitlement, even if you enroll in the other part of </w:t>
      </w:r>
      <w:r w:rsidR="009C77D1">
        <w:rPr>
          <w:rFonts w:asciiTheme="minorHAnsi" w:hAnsiTheme="minorHAnsi" w:cstheme="minorHAnsi"/>
        </w:rPr>
        <w:t>Medicare</w:t>
      </w:r>
      <w:r w:rsidRPr="004F3F86">
        <w:rPr>
          <w:rFonts w:asciiTheme="minorHAnsi" w:hAnsiTheme="minorHAnsi" w:cstheme="minorHAnsi"/>
        </w:rPr>
        <w:t xml:space="preserve"> after the date of the </w:t>
      </w:r>
      <w:r w:rsidR="009C77D1" w:rsidRPr="00EE43C7">
        <w:rPr>
          <w:rFonts w:asciiTheme="minorHAnsi" w:hAnsiTheme="minorHAnsi" w:cstheme="minorHAnsi"/>
        </w:rPr>
        <w:t>election</w:t>
      </w:r>
      <w:r w:rsidRPr="004F3F86">
        <w:rPr>
          <w:rFonts w:asciiTheme="minorHAnsi" w:hAnsiTheme="minorHAnsi" w:cstheme="minorHAnsi"/>
        </w:rPr>
        <w:t xml:space="preserve"> </w:t>
      </w:r>
      <w:r w:rsidR="009C77D1" w:rsidRPr="00EE43C7">
        <w:rPr>
          <w:rFonts w:asciiTheme="minorHAnsi" w:hAnsiTheme="minorHAnsi" w:cstheme="minorHAnsi"/>
        </w:rPr>
        <w:t xml:space="preserve">of </w:t>
      </w:r>
      <w:r w:rsidR="009C77D1">
        <w:rPr>
          <w:rFonts w:asciiTheme="minorHAnsi" w:hAnsiTheme="minorHAnsi" w:cstheme="minorHAnsi"/>
        </w:rPr>
        <w:t xml:space="preserve">COBRA </w:t>
      </w:r>
      <w:r w:rsidRPr="004F3F86">
        <w:rPr>
          <w:rFonts w:asciiTheme="minorHAnsi" w:hAnsiTheme="minorHAnsi" w:cstheme="minorHAnsi"/>
        </w:rPr>
        <w:t>coverage.</w:t>
      </w:r>
    </w:p>
    <w:p w:rsidR="00EE43C7" w:rsidRPr="004F3F86" w:rsidRDefault="00EE43C7">
      <w:pPr>
        <w:rPr>
          <w:rFonts w:asciiTheme="minorHAnsi" w:hAnsiTheme="minorHAnsi" w:cstheme="minorHAnsi"/>
        </w:rPr>
      </w:pPr>
    </w:p>
    <w:p w:rsidR="00F034B9" w:rsidRPr="00EE43C7" w:rsidRDefault="00EE43C7" w:rsidP="00ED73E1">
      <w:pPr>
        <w:rPr>
          <w:rFonts w:asciiTheme="minorHAnsi" w:hAnsiTheme="minorHAnsi" w:cstheme="minorHAnsi"/>
        </w:rPr>
      </w:pPr>
      <w:r w:rsidRPr="004F3F86">
        <w:rPr>
          <w:rFonts w:asciiTheme="minorHAnsi" w:hAnsiTheme="minorHAnsi" w:cstheme="minorHAnsi"/>
        </w:rPr>
        <w:t xml:space="preserve">If you are enrolled in both COBRA continuation coverage and </w:t>
      </w:r>
      <w:r w:rsidR="009C77D1" w:rsidRPr="00EE43C7">
        <w:rPr>
          <w:rFonts w:asciiTheme="minorHAnsi" w:hAnsiTheme="minorHAnsi" w:cstheme="minorHAnsi"/>
        </w:rPr>
        <w:t>Medicare</w:t>
      </w:r>
      <w:r w:rsidRPr="004F3F86">
        <w:rPr>
          <w:rFonts w:asciiTheme="minorHAnsi" w:hAnsiTheme="minorHAnsi" w:cstheme="minorHAnsi"/>
        </w:rPr>
        <w:t xml:space="preserve">, Medicare will generally pay first (primary payer) and COBRA </w:t>
      </w:r>
      <w:r w:rsidR="009C77D1" w:rsidRPr="00EE43C7">
        <w:rPr>
          <w:rFonts w:asciiTheme="minorHAnsi" w:hAnsiTheme="minorHAnsi" w:cstheme="minorHAnsi"/>
        </w:rPr>
        <w:t>continuation</w:t>
      </w:r>
      <w:r w:rsidR="009C77D1">
        <w:rPr>
          <w:rFonts w:asciiTheme="minorHAnsi" w:hAnsiTheme="minorHAnsi" w:cstheme="minorHAnsi"/>
        </w:rPr>
        <w:t xml:space="preserve"> coverage</w:t>
      </w:r>
      <w:r w:rsidRPr="004F3F86">
        <w:rPr>
          <w:rFonts w:asciiTheme="minorHAnsi" w:hAnsiTheme="minorHAnsi" w:cstheme="minorHAnsi"/>
        </w:rPr>
        <w:t xml:space="preserve"> will pay second.  </w:t>
      </w:r>
      <w:r w:rsidR="009C77D1" w:rsidRPr="00EE43C7">
        <w:rPr>
          <w:rFonts w:asciiTheme="minorHAnsi" w:hAnsiTheme="minorHAnsi" w:cstheme="minorHAnsi"/>
        </w:rPr>
        <w:t>Certain</w:t>
      </w:r>
      <w:r w:rsidRPr="004F3F86">
        <w:rPr>
          <w:rFonts w:asciiTheme="minorHAnsi" w:hAnsiTheme="minorHAnsi" w:cstheme="minorHAnsi"/>
        </w:rPr>
        <w:t xml:space="preserve"> plans may pay as if second to </w:t>
      </w:r>
      <w:r w:rsidR="009C77D1" w:rsidRPr="00EE43C7">
        <w:rPr>
          <w:rFonts w:asciiTheme="minorHAnsi" w:hAnsiTheme="minorHAnsi" w:cstheme="minorHAnsi"/>
        </w:rPr>
        <w:t>Medicare</w:t>
      </w:r>
      <w:r w:rsidRPr="004F3F86">
        <w:rPr>
          <w:rFonts w:asciiTheme="minorHAnsi" w:hAnsiTheme="minorHAnsi" w:cstheme="minorHAnsi"/>
        </w:rPr>
        <w:t xml:space="preserve">, even if you are not enrolled in </w:t>
      </w:r>
      <w:r w:rsidR="009C77D1" w:rsidRPr="00EE43C7">
        <w:rPr>
          <w:rFonts w:asciiTheme="minorHAnsi" w:hAnsiTheme="minorHAnsi" w:cstheme="minorHAnsi"/>
        </w:rPr>
        <w:t>Medicare</w:t>
      </w:r>
      <w:r w:rsidRPr="004F3F86">
        <w:rPr>
          <w:rFonts w:asciiTheme="minorHAnsi" w:hAnsiTheme="minorHAnsi" w:cstheme="minorHAnsi"/>
        </w:rPr>
        <w:t xml:space="preserve">.  For more information, visit </w:t>
      </w:r>
      <w:hyperlink r:id="rId9" w:history="1">
        <w:r w:rsidRPr="004F3F86">
          <w:rPr>
            <w:rStyle w:val="Hyperlink"/>
            <w:rFonts w:asciiTheme="minorHAnsi" w:hAnsiTheme="minorHAnsi" w:cstheme="minorHAnsi"/>
          </w:rPr>
          <w:t>https://www.medicare.gov/medicare-and-you</w:t>
        </w:r>
      </w:hyperlink>
      <w:r w:rsidRPr="004F3F86">
        <w:rPr>
          <w:rFonts w:asciiTheme="minorHAnsi" w:hAnsiTheme="minorHAnsi" w:cstheme="minorHAnsi"/>
        </w:rPr>
        <w:t>.</w:t>
      </w:r>
    </w:p>
    <w:p w:rsidR="00ED73E1" w:rsidRPr="00FA51CC" w:rsidRDefault="00ED73E1" w:rsidP="00ED73E1">
      <w:pPr>
        <w:rPr>
          <w:rFonts w:asciiTheme="minorHAnsi" w:hAnsiTheme="minorHAnsi" w:cstheme="minorHAnsi"/>
        </w:rPr>
      </w:pPr>
    </w:p>
    <w:p w:rsidR="00ED73E1" w:rsidRPr="00FA51CC" w:rsidRDefault="00ED73E1" w:rsidP="00ED73E1">
      <w:pPr>
        <w:rPr>
          <w:rFonts w:asciiTheme="minorHAnsi" w:hAnsiTheme="minorHAnsi" w:cstheme="minorHAnsi"/>
        </w:rPr>
      </w:pPr>
      <w:r w:rsidRPr="00FA51CC">
        <w:rPr>
          <w:rFonts w:asciiTheme="minorHAnsi" w:hAnsiTheme="minorHAnsi" w:cstheme="minorHAnsi"/>
          <w:b/>
          <w:bCs/>
        </w:rPr>
        <w:t>Plan Contact Information</w:t>
      </w:r>
    </w:p>
    <w:p w:rsidR="00ED73E1" w:rsidRPr="00FA51CC" w:rsidRDefault="00ED73E1" w:rsidP="00FD3282">
      <w:pPr>
        <w:pStyle w:val="BodyTextIndent"/>
        <w:spacing w:before="0" w:line="240" w:lineRule="auto"/>
        <w:ind w:firstLine="0"/>
        <w:rPr>
          <w:rFonts w:asciiTheme="minorHAnsi" w:hAnsiTheme="minorHAnsi" w:cstheme="minorHAnsi"/>
        </w:rPr>
      </w:pPr>
    </w:p>
    <w:p w:rsidR="00FA51CC" w:rsidRPr="00FA51CC" w:rsidRDefault="00EE43C7" w:rsidP="00FD3282">
      <w:pPr>
        <w:pStyle w:val="BodyTextIndent"/>
        <w:spacing w:before="0" w:line="240" w:lineRule="auto"/>
        <w:ind w:firstLine="0"/>
        <w:rPr>
          <w:rFonts w:asciiTheme="minorHAnsi" w:hAnsiTheme="minorHAnsi" w:cstheme="minorHAnsi"/>
        </w:rPr>
      </w:pPr>
      <w:r>
        <w:rPr>
          <w:rFonts w:asciiTheme="minorHAnsi" w:hAnsiTheme="minorHAnsi" w:cstheme="minorHAnsi"/>
        </w:rPr>
        <w:t>J</w:t>
      </w:r>
      <w:r w:rsidR="00FA51CC" w:rsidRPr="00FA51CC">
        <w:rPr>
          <w:rFonts w:asciiTheme="minorHAnsi" w:hAnsiTheme="minorHAnsi" w:cstheme="minorHAnsi"/>
        </w:rPr>
        <w:t>ulie Nohrenberg, Human Resources Office, Metropolitan Community College, PO Box 3777, Omaha NE</w:t>
      </w:r>
      <w:r w:rsidR="00650325">
        <w:rPr>
          <w:rFonts w:asciiTheme="minorHAnsi" w:hAnsiTheme="minorHAnsi" w:cstheme="minorHAnsi"/>
        </w:rPr>
        <w:t xml:space="preserve">, </w:t>
      </w:r>
      <w:r w:rsidR="00FA51CC" w:rsidRPr="00FA51CC">
        <w:rPr>
          <w:rFonts w:asciiTheme="minorHAnsi" w:hAnsiTheme="minorHAnsi" w:cstheme="minorHAnsi"/>
        </w:rPr>
        <w:t>68103,</w:t>
      </w:r>
      <w:r w:rsidR="00FA51CC">
        <w:rPr>
          <w:rFonts w:asciiTheme="minorHAnsi" w:hAnsiTheme="minorHAnsi" w:cstheme="minorHAnsi"/>
        </w:rPr>
        <w:t xml:space="preserve"> </w:t>
      </w:r>
      <w:r w:rsidR="00B465E0">
        <w:rPr>
          <w:rFonts w:asciiTheme="minorHAnsi" w:hAnsiTheme="minorHAnsi" w:cstheme="minorHAnsi"/>
        </w:rPr>
        <w:t>531-622-2232</w:t>
      </w:r>
      <w:r>
        <w:rPr>
          <w:rFonts w:asciiTheme="minorHAnsi" w:hAnsiTheme="minorHAnsi" w:cstheme="minorHAnsi"/>
        </w:rPr>
        <w:t xml:space="preserve">; </w:t>
      </w:r>
      <w:r w:rsidR="00E41D78">
        <w:rPr>
          <w:rFonts w:asciiTheme="minorHAnsi" w:hAnsiTheme="minorHAnsi" w:cstheme="minorHAnsi"/>
        </w:rPr>
        <w:t>Blue Cross</w:t>
      </w:r>
      <w:r w:rsidR="00650325">
        <w:rPr>
          <w:rFonts w:asciiTheme="minorHAnsi" w:hAnsiTheme="minorHAnsi" w:cstheme="minorHAnsi"/>
        </w:rPr>
        <w:t xml:space="preserve"> and </w:t>
      </w:r>
      <w:r w:rsidR="00E41D78">
        <w:rPr>
          <w:rFonts w:asciiTheme="minorHAnsi" w:hAnsiTheme="minorHAnsi" w:cstheme="minorHAnsi"/>
        </w:rPr>
        <w:t>Blue Shield of Nebraska</w:t>
      </w:r>
      <w:r w:rsidR="004D6964">
        <w:rPr>
          <w:rFonts w:asciiTheme="minorHAnsi" w:hAnsiTheme="minorHAnsi" w:cstheme="minorHAnsi"/>
        </w:rPr>
        <w:t xml:space="preserve"> Member Services</w:t>
      </w:r>
      <w:r w:rsidR="00E41D78" w:rsidRPr="004D6964">
        <w:rPr>
          <w:rFonts w:asciiTheme="minorHAnsi" w:hAnsiTheme="minorHAnsi" w:cstheme="minorHAnsi"/>
        </w:rPr>
        <w:t xml:space="preserve">, </w:t>
      </w:r>
      <w:r w:rsidR="00650325">
        <w:rPr>
          <w:rFonts w:asciiTheme="minorHAnsi" w:hAnsiTheme="minorHAnsi" w:cstheme="minorHAnsi"/>
        </w:rPr>
        <w:t>1-</w:t>
      </w:r>
      <w:r w:rsidR="00E41D78" w:rsidRPr="004D6964">
        <w:rPr>
          <w:rFonts w:asciiTheme="minorHAnsi" w:hAnsiTheme="minorHAnsi" w:cstheme="minorHAnsi"/>
        </w:rPr>
        <w:t>877-721-2583</w:t>
      </w:r>
      <w:r w:rsidR="00141E5C" w:rsidRPr="004D6964">
        <w:rPr>
          <w:rFonts w:asciiTheme="minorHAnsi" w:hAnsiTheme="minorHAnsi" w:cstheme="minorHAnsi"/>
        </w:rPr>
        <w:t>.</w:t>
      </w:r>
    </w:p>
    <w:p w:rsidR="00FD3282" w:rsidRPr="00FA51CC" w:rsidRDefault="00FD3282" w:rsidP="00ED73E1">
      <w:pPr>
        <w:pStyle w:val="BodyTextIndent"/>
        <w:spacing w:before="0" w:line="240" w:lineRule="auto"/>
        <w:ind w:firstLine="0"/>
        <w:rPr>
          <w:rFonts w:asciiTheme="minorHAnsi" w:hAnsiTheme="minorHAnsi" w:cstheme="minorHAnsi"/>
          <w:b/>
        </w:rPr>
      </w:pPr>
    </w:p>
    <w:p w:rsidR="00A164A0" w:rsidRPr="00FA51CC" w:rsidRDefault="00246583" w:rsidP="00FA51CC">
      <w:pPr>
        <w:rPr>
          <w:rFonts w:asciiTheme="minorHAnsi" w:hAnsiTheme="minorHAnsi" w:cstheme="minorHAnsi"/>
        </w:rPr>
      </w:pPr>
      <w:r w:rsidRPr="00FA51CC">
        <w:rPr>
          <w:rFonts w:asciiTheme="minorHAnsi" w:hAnsiTheme="minorHAnsi" w:cstheme="minorHAnsi"/>
        </w:rPr>
        <w:t xml:space="preserve">For more information about your rights under COBRA, the Health Insurance Portability and Accountability Act (HIPAA), and other laws affecting group health plans, visit the U.S. Department of Labor’s Employee Benefits Security Administration (EBSA) website at </w:t>
      </w:r>
      <w:hyperlink r:id="rId10" w:history="1">
        <w:r w:rsidRPr="00FA51CC">
          <w:rPr>
            <w:rFonts w:asciiTheme="minorHAnsi" w:hAnsiTheme="minorHAnsi" w:cstheme="minorHAnsi"/>
            <w:color w:val="0000FF"/>
            <w:u w:val="single"/>
          </w:rPr>
          <w:t>www.dol.gov/ebsa</w:t>
        </w:r>
      </w:hyperlink>
      <w:r w:rsidRPr="00FA51CC">
        <w:rPr>
          <w:rFonts w:asciiTheme="minorHAnsi" w:hAnsiTheme="minorHAnsi" w:cstheme="minorHAnsi"/>
        </w:rPr>
        <w:t xml:space="preserve"> or call their toll-free number at 1-866-444-3272</w:t>
      </w:r>
      <w:r w:rsidR="00EE43C7">
        <w:rPr>
          <w:rFonts w:asciiTheme="minorHAnsi" w:hAnsiTheme="minorHAnsi" w:cstheme="minorHAnsi"/>
        </w:rPr>
        <w:t>.</w:t>
      </w:r>
      <w:r w:rsidRPr="00FA51CC">
        <w:rPr>
          <w:rFonts w:asciiTheme="minorHAnsi" w:hAnsiTheme="minorHAnsi" w:cstheme="minorHAnsi"/>
        </w:rPr>
        <w:t xml:space="preserve">  For more information about health insurance options available through a Health Insurance Marketplace, visit </w:t>
      </w:r>
      <w:hyperlink r:id="rId11" w:history="1">
        <w:r w:rsidRPr="00FA51CC">
          <w:rPr>
            <w:rFonts w:asciiTheme="minorHAnsi" w:hAnsiTheme="minorHAnsi" w:cstheme="minorHAnsi"/>
            <w:color w:val="0000FF"/>
            <w:u w:val="single"/>
          </w:rPr>
          <w:t>www.healthcare.gov</w:t>
        </w:r>
      </w:hyperlink>
      <w:r w:rsidRPr="00FA51CC">
        <w:rPr>
          <w:rFonts w:asciiTheme="minorHAnsi" w:hAnsiTheme="minorHAnsi" w:cstheme="minorHAnsi"/>
        </w:rPr>
        <w:t>.</w:t>
      </w:r>
    </w:p>
    <w:sectPr w:rsidR="00A164A0" w:rsidRPr="00FA51CC" w:rsidSect="00EE43C7">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746" w:rsidRDefault="00204746" w:rsidP="00204746">
      <w:r>
        <w:separator/>
      </w:r>
    </w:p>
  </w:endnote>
  <w:endnote w:type="continuationSeparator" w:id="0">
    <w:p w:rsidR="00204746" w:rsidRDefault="00204746" w:rsidP="0020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46" w:rsidRDefault="00B465E0">
    <w:pPr>
      <w:pStyle w:val="Footer"/>
    </w:pPr>
    <w:r>
      <w:t>4/2020</w:t>
    </w:r>
  </w:p>
  <w:p w:rsidR="00204746" w:rsidRDefault="00204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746" w:rsidRDefault="00204746" w:rsidP="00204746">
      <w:r>
        <w:separator/>
      </w:r>
    </w:p>
  </w:footnote>
  <w:footnote w:type="continuationSeparator" w:id="0">
    <w:p w:rsidR="00204746" w:rsidRDefault="00204746" w:rsidP="0020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 w15:restartNumberingAfterBreak="0">
    <w:nsid w:val="01537AAE"/>
    <w:multiLevelType w:val="hybridMultilevel"/>
    <w:tmpl w:val="7AEE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81F92"/>
    <w:multiLevelType w:val="hybridMultilevel"/>
    <w:tmpl w:val="A1B8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E65F8"/>
    <w:multiLevelType w:val="hybridMultilevel"/>
    <w:tmpl w:val="493E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17E22"/>
    <w:multiLevelType w:val="hybridMultilevel"/>
    <w:tmpl w:val="4828B4E6"/>
    <w:lvl w:ilvl="0" w:tplc="C2EA25D0">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2C20700"/>
    <w:multiLevelType w:val="hybridMultilevel"/>
    <w:tmpl w:val="96C2F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F916FD"/>
    <w:multiLevelType w:val="hybridMultilevel"/>
    <w:tmpl w:val="4F2A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A70B8"/>
    <w:multiLevelType w:val="hybridMultilevel"/>
    <w:tmpl w:val="4064BEE2"/>
    <w:lvl w:ilvl="0" w:tplc="C2EA25D0">
      <w:start w:val="1"/>
      <w:numFmt w:val="bullet"/>
      <w:lvlText w:val=""/>
      <w:lvlJc w:val="left"/>
      <w:pPr>
        <w:tabs>
          <w:tab w:val="num" w:pos="1008"/>
        </w:tabs>
        <w:ind w:left="1008" w:hanging="360"/>
      </w:pPr>
      <w:rPr>
        <w:rFonts w:ascii="Symbol" w:hAnsi="Symbol" w:hint="default"/>
      </w:rPr>
    </w:lvl>
    <w:lvl w:ilvl="1" w:tplc="8E3E82F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26E6E9D"/>
    <w:multiLevelType w:val="hybridMultilevel"/>
    <w:tmpl w:val="B4883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CF46BC"/>
    <w:multiLevelType w:val="hybridMultilevel"/>
    <w:tmpl w:val="4064BEE2"/>
    <w:lvl w:ilvl="0" w:tplc="C2EA25D0">
      <w:start w:val="1"/>
      <w:numFmt w:val="bullet"/>
      <w:lvlText w:val=""/>
      <w:lvlJc w:val="left"/>
      <w:pPr>
        <w:tabs>
          <w:tab w:val="num" w:pos="1008"/>
        </w:tabs>
        <w:ind w:left="1008" w:hanging="360"/>
      </w:pPr>
      <w:rPr>
        <w:rFonts w:ascii="Symbol" w:hAnsi="Symbol" w:hint="default"/>
      </w:rPr>
    </w:lvl>
    <w:lvl w:ilvl="1" w:tplc="8E3E82F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lvlOverride w:ilvl="0">
      <w:startOverride w:val="1"/>
      <w:lvl w:ilvl="0">
        <w:start w:val="1"/>
        <w:numFmt w:val="decimal"/>
        <w:pStyle w:val="QuickI"/>
        <w:lvlText w:val="%1."/>
        <w:lvlJc w:val="left"/>
      </w:lvl>
    </w:lvlOverride>
  </w:num>
  <w:num w:numId="2">
    <w:abstractNumId w:val="4"/>
  </w:num>
  <w:num w:numId="3">
    <w:abstractNumId w:val="7"/>
  </w:num>
  <w:num w:numId="4">
    <w:abstractNumId w:val="9"/>
  </w:num>
  <w:num w:numId="5">
    <w:abstractNumId w:val="2"/>
  </w:num>
  <w:num w:numId="6">
    <w:abstractNumId w:val="5"/>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E1"/>
    <w:rsid w:val="00090792"/>
    <w:rsid w:val="0009502F"/>
    <w:rsid w:val="00132438"/>
    <w:rsid w:val="00141E5C"/>
    <w:rsid w:val="00204746"/>
    <w:rsid w:val="00246583"/>
    <w:rsid w:val="003C7816"/>
    <w:rsid w:val="00480CCB"/>
    <w:rsid w:val="004D6964"/>
    <w:rsid w:val="004F3F86"/>
    <w:rsid w:val="005145A3"/>
    <w:rsid w:val="0054221A"/>
    <w:rsid w:val="005A1390"/>
    <w:rsid w:val="00650325"/>
    <w:rsid w:val="00662F65"/>
    <w:rsid w:val="00787AC5"/>
    <w:rsid w:val="007902F1"/>
    <w:rsid w:val="007E6922"/>
    <w:rsid w:val="00825BB4"/>
    <w:rsid w:val="0087526B"/>
    <w:rsid w:val="009C77D1"/>
    <w:rsid w:val="009E3B86"/>
    <w:rsid w:val="00A164A0"/>
    <w:rsid w:val="00B465E0"/>
    <w:rsid w:val="00C9370B"/>
    <w:rsid w:val="00D066C0"/>
    <w:rsid w:val="00D6282D"/>
    <w:rsid w:val="00DB6397"/>
    <w:rsid w:val="00E10B81"/>
    <w:rsid w:val="00E41D78"/>
    <w:rsid w:val="00ED4EFB"/>
    <w:rsid w:val="00ED73E1"/>
    <w:rsid w:val="00EE43C7"/>
    <w:rsid w:val="00F034B9"/>
    <w:rsid w:val="00FA51CC"/>
    <w:rsid w:val="00FD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0A49-3667-42C2-AB33-CFD9570D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3E1"/>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73E1"/>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3E1"/>
    <w:rPr>
      <w:rFonts w:ascii="Times New Roman" w:eastAsia="Times New Roman" w:hAnsi="Times New Roman" w:cs="Times New Roman"/>
      <w:b/>
      <w:bCs/>
      <w:sz w:val="24"/>
      <w:szCs w:val="24"/>
    </w:rPr>
  </w:style>
  <w:style w:type="paragraph" w:styleId="BodyTextIndent">
    <w:name w:val="Body Text Indent"/>
    <w:basedOn w:val="Normal"/>
    <w:link w:val="BodyTextIndentChar"/>
    <w:rsid w:val="00ED73E1"/>
    <w:pPr>
      <w:spacing w:before="240" w:line="480" w:lineRule="auto"/>
      <w:ind w:firstLine="720"/>
    </w:pPr>
  </w:style>
  <w:style w:type="character" w:customStyle="1" w:styleId="BodyTextIndentChar">
    <w:name w:val="Body Text Indent Char"/>
    <w:basedOn w:val="DefaultParagraphFont"/>
    <w:link w:val="BodyTextIndent"/>
    <w:rsid w:val="00ED73E1"/>
    <w:rPr>
      <w:rFonts w:ascii="Times New Roman" w:eastAsia="Times New Roman" w:hAnsi="Times New Roman" w:cs="Times New Roman"/>
      <w:sz w:val="24"/>
      <w:szCs w:val="24"/>
    </w:rPr>
  </w:style>
  <w:style w:type="paragraph" w:customStyle="1" w:styleId="QuickI">
    <w:name w:val="Quick I."/>
    <w:basedOn w:val="Normal"/>
    <w:rsid w:val="00ED73E1"/>
    <w:pPr>
      <w:widowControl w:val="0"/>
      <w:numPr>
        <w:numId w:val="1"/>
      </w:numPr>
      <w:autoSpaceDE w:val="0"/>
      <w:autoSpaceDN w:val="0"/>
      <w:adjustRightInd w:val="0"/>
      <w:ind w:left="720" w:hanging="720"/>
    </w:pPr>
  </w:style>
  <w:style w:type="paragraph" w:styleId="BalloonText">
    <w:name w:val="Balloon Text"/>
    <w:basedOn w:val="Normal"/>
    <w:link w:val="BalloonTextChar"/>
    <w:uiPriority w:val="99"/>
    <w:semiHidden/>
    <w:unhideWhenUsed/>
    <w:rsid w:val="0054221A"/>
    <w:rPr>
      <w:rFonts w:ascii="Tahoma" w:hAnsi="Tahoma" w:cs="Tahoma"/>
      <w:sz w:val="16"/>
      <w:szCs w:val="16"/>
    </w:rPr>
  </w:style>
  <w:style w:type="character" w:customStyle="1" w:styleId="BalloonTextChar">
    <w:name w:val="Balloon Text Char"/>
    <w:basedOn w:val="DefaultParagraphFont"/>
    <w:link w:val="BalloonText"/>
    <w:uiPriority w:val="99"/>
    <w:semiHidden/>
    <w:rsid w:val="0054221A"/>
    <w:rPr>
      <w:rFonts w:ascii="Tahoma" w:eastAsia="Times New Roman" w:hAnsi="Tahoma" w:cs="Tahoma"/>
      <w:sz w:val="16"/>
      <w:szCs w:val="16"/>
    </w:rPr>
  </w:style>
  <w:style w:type="paragraph" w:styleId="Header">
    <w:name w:val="header"/>
    <w:basedOn w:val="Normal"/>
    <w:link w:val="HeaderChar"/>
    <w:uiPriority w:val="99"/>
    <w:unhideWhenUsed/>
    <w:rsid w:val="00204746"/>
    <w:pPr>
      <w:tabs>
        <w:tab w:val="center" w:pos="4680"/>
        <w:tab w:val="right" w:pos="9360"/>
      </w:tabs>
    </w:pPr>
  </w:style>
  <w:style w:type="character" w:customStyle="1" w:styleId="HeaderChar">
    <w:name w:val="Header Char"/>
    <w:basedOn w:val="DefaultParagraphFont"/>
    <w:link w:val="Header"/>
    <w:uiPriority w:val="99"/>
    <w:rsid w:val="002047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4746"/>
    <w:pPr>
      <w:tabs>
        <w:tab w:val="center" w:pos="4680"/>
        <w:tab w:val="right" w:pos="9360"/>
      </w:tabs>
    </w:pPr>
  </w:style>
  <w:style w:type="character" w:customStyle="1" w:styleId="FooterChar">
    <w:name w:val="Footer Char"/>
    <w:basedOn w:val="DefaultParagraphFont"/>
    <w:link w:val="Footer"/>
    <w:uiPriority w:val="99"/>
    <w:rsid w:val="00204746"/>
    <w:rPr>
      <w:rFonts w:ascii="Times New Roman" w:eastAsia="Times New Roman" w:hAnsi="Times New Roman" w:cs="Times New Roman"/>
      <w:sz w:val="24"/>
      <w:szCs w:val="24"/>
    </w:rPr>
  </w:style>
  <w:style w:type="paragraph" w:styleId="ListParagraph">
    <w:name w:val="List Paragraph"/>
    <w:basedOn w:val="Normal"/>
    <w:uiPriority w:val="34"/>
    <w:qFormat/>
    <w:rsid w:val="009E3B86"/>
    <w:pPr>
      <w:ind w:left="720"/>
      <w:contextualSpacing/>
    </w:pPr>
  </w:style>
  <w:style w:type="character" w:styleId="Hyperlink">
    <w:name w:val="Hyperlink"/>
    <w:basedOn w:val="DefaultParagraphFont"/>
    <w:uiPriority w:val="99"/>
    <w:unhideWhenUsed/>
    <w:rsid w:val="005A13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care.gov" TargetMode="External"/><Relationship Id="rId5" Type="http://schemas.openxmlformats.org/officeDocument/2006/relationships/webSettings" Target="webSettings.xml"/><Relationship Id="rId10" Type="http://schemas.openxmlformats.org/officeDocument/2006/relationships/hyperlink" Target="http://www.dol.gov/ebsa" TargetMode="External"/><Relationship Id="rId4" Type="http://schemas.openxmlformats.org/officeDocument/2006/relationships/settings" Target="settings.xml"/><Relationship Id="rId9" Type="http://schemas.openxmlformats.org/officeDocument/2006/relationships/hyperlink" Target="https://www.medicare.gov/medicare-and-yo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15A30-8BA1-4A95-A286-B90CC4D7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NetTech</dc:creator>
  <cp:lastModifiedBy>Nohrenberg, Julie</cp:lastModifiedBy>
  <cp:revision>2</cp:revision>
  <cp:lastPrinted>2013-08-16T21:46:00Z</cp:lastPrinted>
  <dcterms:created xsi:type="dcterms:W3CDTF">2020-06-05T14:56:00Z</dcterms:created>
  <dcterms:modified xsi:type="dcterms:W3CDTF">2020-06-05T14:56:00Z</dcterms:modified>
</cp:coreProperties>
</file>